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C52C" w14:textId="77777777" w:rsidR="00483EAE" w:rsidRPr="003413BB" w:rsidRDefault="00483EAE" w:rsidP="00F01356">
      <w:pPr>
        <w:spacing w:after="0" w:line="240" w:lineRule="auto"/>
        <w:rPr>
          <w:b/>
          <w:u w:val="single"/>
        </w:rPr>
      </w:pPr>
      <w:r w:rsidRPr="003413BB">
        <w:rPr>
          <w:b/>
          <w:u w:val="single"/>
        </w:rPr>
        <w:t>AUTUMN TERM – DfE UPDATES</w:t>
      </w:r>
    </w:p>
    <w:p w14:paraId="3C13CD40" w14:textId="77777777" w:rsidR="00483EAE" w:rsidRPr="003413BB" w:rsidRDefault="00483EAE" w:rsidP="00F01356">
      <w:pPr>
        <w:spacing w:after="0" w:line="240" w:lineRule="auto"/>
        <w:rPr>
          <w:b/>
          <w:u w:val="single"/>
        </w:rPr>
      </w:pPr>
    </w:p>
    <w:p w14:paraId="5EB5E6CA" w14:textId="77777777" w:rsidR="00483EAE" w:rsidRPr="003413BB" w:rsidRDefault="00483EAE" w:rsidP="00F01356">
      <w:pPr>
        <w:spacing w:after="0" w:line="240" w:lineRule="auto"/>
        <w:rPr>
          <w:b/>
          <w:u w:val="singl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84"/>
        <w:gridCol w:w="1816"/>
        <w:gridCol w:w="1870"/>
        <w:gridCol w:w="1275"/>
        <w:gridCol w:w="8676"/>
      </w:tblGrid>
      <w:tr w:rsidR="00D9581D" w14:paraId="042B8DD9" w14:textId="77777777" w:rsidTr="003F3A55">
        <w:trPr>
          <w:cantSplit/>
          <w:tblHeader/>
        </w:trPr>
        <w:tc>
          <w:tcPr>
            <w:tcW w:w="1384" w:type="dxa"/>
            <w:shd w:val="clear" w:color="auto" w:fill="C6D9F1" w:themeFill="text2" w:themeFillTint="33"/>
          </w:tcPr>
          <w:p w14:paraId="0363CBB9" w14:textId="77777777" w:rsidR="00D9581D" w:rsidRDefault="00D9581D" w:rsidP="003F3A5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Type</w:t>
            </w:r>
          </w:p>
        </w:tc>
        <w:tc>
          <w:tcPr>
            <w:tcW w:w="1816" w:type="dxa"/>
            <w:shd w:val="clear" w:color="auto" w:fill="C6D9F1" w:themeFill="text2" w:themeFillTint="33"/>
          </w:tcPr>
          <w:p w14:paraId="268B20BF" w14:textId="77777777" w:rsidR="00D9581D" w:rsidRDefault="00D9581D" w:rsidP="003F3A5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4273FD21" w14:textId="77777777" w:rsidR="00D9581D" w:rsidRDefault="00D9581D" w:rsidP="003F3A5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Date published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76C2A83D" w14:textId="77777777" w:rsidR="00D9581D" w:rsidRDefault="00D9581D" w:rsidP="003F3A5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Who for</w:t>
            </w:r>
          </w:p>
        </w:tc>
        <w:tc>
          <w:tcPr>
            <w:tcW w:w="8676" w:type="dxa"/>
            <w:shd w:val="clear" w:color="auto" w:fill="C6D9F1" w:themeFill="text2" w:themeFillTint="33"/>
          </w:tcPr>
          <w:p w14:paraId="24BD106B" w14:textId="77777777" w:rsidR="00D9581D" w:rsidRDefault="00D9581D" w:rsidP="003F3A5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Summary</w:t>
            </w:r>
          </w:p>
        </w:tc>
      </w:tr>
      <w:tr w:rsidR="00D9581D" w:rsidRPr="00840F4D" w14:paraId="6259961B" w14:textId="77777777" w:rsidTr="003F3A55">
        <w:trPr>
          <w:cantSplit/>
        </w:trPr>
        <w:tc>
          <w:tcPr>
            <w:tcW w:w="1384" w:type="dxa"/>
          </w:tcPr>
          <w:p w14:paraId="15ED816C" w14:textId="77777777" w:rsidR="00D9581D" w:rsidRPr="00840F4D" w:rsidRDefault="002E78D8" w:rsidP="00F01356">
            <w:r>
              <w:t>Policy</w:t>
            </w:r>
          </w:p>
        </w:tc>
        <w:tc>
          <w:tcPr>
            <w:tcW w:w="1816" w:type="dxa"/>
          </w:tcPr>
          <w:p w14:paraId="538AB991" w14:textId="77777777" w:rsidR="00D9581D" w:rsidRPr="00840F4D" w:rsidRDefault="00D9581D" w:rsidP="00F01356">
            <w:r w:rsidRPr="00840F4D">
              <w:t>School sport and activity action plan</w:t>
            </w:r>
          </w:p>
        </w:tc>
        <w:tc>
          <w:tcPr>
            <w:tcW w:w="1870" w:type="dxa"/>
          </w:tcPr>
          <w:p w14:paraId="0BFDC566" w14:textId="77777777" w:rsidR="00D9581D" w:rsidRPr="00840F4D" w:rsidRDefault="00D9581D" w:rsidP="00F01356">
            <w:r w:rsidRPr="00840F4D">
              <w:t>15 July 2019</w:t>
            </w:r>
          </w:p>
        </w:tc>
        <w:tc>
          <w:tcPr>
            <w:tcW w:w="1275" w:type="dxa"/>
          </w:tcPr>
          <w:p w14:paraId="218A85BD" w14:textId="77777777" w:rsidR="00D9581D" w:rsidRDefault="00D9581D" w:rsidP="00F01356">
            <w:r w:rsidRPr="00840F4D">
              <w:t>All Schools</w:t>
            </w:r>
          </w:p>
          <w:p w14:paraId="5A397987" w14:textId="77777777" w:rsidR="00C52C63" w:rsidRDefault="00C52C63" w:rsidP="00F01356"/>
          <w:p w14:paraId="69F81006" w14:textId="77777777" w:rsidR="00C52C63" w:rsidRPr="00840F4D" w:rsidRDefault="00C52C63" w:rsidP="00F01356"/>
        </w:tc>
        <w:tc>
          <w:tcPr>
            <w:tcW w:w="8676" w:type="dxa"/>
          </w:tcPr>
          <w:p w14:paraId="6C8BAA2B" w14:textId="77777777" w:rsidR="00AE32AD" w:rsidRDefault="00D9581D" w:rsidP="00AE32AD">
            <w:pPr>
              <w:rPr>
                <w:lang w:val="en"/>
              </w:rPr>
            </w:pPr>
            <w:r w:rsidRPr="00840F4D">
              <w:rPr>
                <w:lang w:val="en"/>
              </w:rPr>
              <w:t>A cross-government action plan to provide pupils with greater opportunity to access 60 minutes of sport and physical activity every day.</w:t>
            </w:r>
            <w:r w:rsidR="00AE32AD">
              <w:rPr>
                <w:lang w:val="en"/>
              </w:rPr>
              <w:t xml:space="preserve">  The plan outlines:</w:t>
            </w:r>
          </w:p>
          <w:p w14:paraId="450C145B" w14:textId="77777777" w:rsidR="00AE32AD" w:rsidRPr="00BF1196" w:rsidRDefault="00AE32AD" w:rsidP="00AE32AD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BF1196">
              <w:rPr>
                <w:lang w:val="en"/>
              </w:rPr>
              <w:t>a</w:t>
            </w:r>
            <w:r w:rsidR="00CF7ADD" w:rsidRPr="00BF1196">
              <w:rPr>
                <w:rFonts w:eastAsia="Times New Roman" w:cstheme="minorHAnsi"/>
                <w:lang w:val="en" w:eastAsia="en-GB"/>
              </w:rPr>
              <w:t xml:space="preserve"> range of new measures to strengthen the role of sport within a young person’s daily routine</w:t>
            </w:r>
            <w:r w:rsidRPr="00BF1196">
              <w:rPr>
                <w:rFonts w:eastAsia="Times New Roman" w:cstheme="minorHAnsi"/>
                <w:lang w:val="en" w:eastAsia="en-GB"/>
              </w:rPr>
              <w:t>:</w:t>
            </w:r>
          </w:p>
          <w:p w14:paraId="7B75ADB6" w14:textId="77777777" w:rsidR="00AE32AD" w:rsidRPr="00BF1196" w:rsidRDefault="00CF7ADD" w:rsidP="00AE32AD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BF1196">
              <w:rPr>
                <w:rFonts w:eastAsia="Times New Roman" w:cstheme="minorHAnsi"/>
                <w:lang w:val="en" w:eastAsia="en-GB"/>
              </w:rPr>
              <w:t>explains how teachers and parents can play their part</w:t>
            </w:r>
          </w:p>
          <w:p w14:paraId="6C962A55" w14:textId="77777777" w:rsidR="00CF7ADD" w:rsidRPr="00BF1196" w:rsidRDefault="00CF7ADD" w:rsidP="00AE32AD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BF1196">
              <w:rPr>
                <w:rFonts w:eastAsia="Times New Roman" w:cstheme="minorHAnsi"/>
                <w:lang w:val="en" w:eastAsia="en-GB"/>
              </w:rPr>
              <w:t>promotes a joined-up approach to physical activity and mental wellbeing</w:t>
            </w:r>
          </w:p>
          <w:p w14:paraId="57E2EB99" w14:textId="77777777" w:rsidR="00A9326A" w:rsidRDefault="00A9326A" w:rsidP="00D9581D">
            <w:pPr>
              <w:rPr>
                <w:lang w:val="en"/>
              </w:rPr>
            </w:pPr>
          </w:p>
          <w:p w14:paraId="37753C00" w14:textId="77777777" w:rsidR="00840F4D" w:rsidRPr="00840F4D" w:rsidRDefault="002E78D8" w:rsidP="00D9581D">
            <w:pPr>
              <w:rPr>
                <w:lang w:val="en"/>
              </w:rPr>
            </w:pPr>
            <w:r>
              <w:rPr>
                <w:lang w:val="en"/>
              </w:rPr>
              <w:t>Useful as a guide to government expectations of schools to provide sport and activity for children.</w:t>
            </w:r>
          </w:p>
          <w:p w14:paraId="278BA9AA" w14:textId="77777777" w:rsidR="00D9581D" w:rsidRPr="00840F4D" w:rsidRDefault="00D9581D" w:rsidP="00D9581D"/>
          <w:p w14:paraId="237A0AC1" w14:textId="77777777" w:rsidR="00D9581D" w:rsidRDefault="003F3A55" w:rsidP="00F01356">
            <w:pPr>
              <w:rPr>
                <w:color w:val="0000FF" w:themeColor="hyperlink"/>
              </w:rPr>
            </w:pPr>
            <w:hyperlink r:id="rId7" w:history="1">
              <w:r w:rsidR="00D9581D" w:rsidRPr="00840F4D">
                <w:rPr>
                  <w:color w:val="0000FF" w:themeColor="hyperlink"/>
                </w:rPr>
                <w:t>https://www.gov.uk/government/publications/school-sport-and-activity-action-plan</w:t>
              </w:r>
            </w:hyperlink>
          </w:p>
          <w:p w14:paraId="33F8942F" w14:textId="77777777" w:rsidR="003F3A55" w:rsidRPr="00840F4D" w:rsidRDefault="003F3A55" w:rsidP="00F01356"/>
        </w:tc>
      </w:tr>
      <w:tr w:rsidR="00D9581D" w:rsidRPr="00840F4D" w14:paraId="4A79A275" w14:textId="77777777" w:rsidTr="003F3A55">
        <w:trPr>
          <w:cantSplit/>
        </w:trPr>
        <w:tc>
          <w:tcPr>
            <w:tcW w:w="1384" w:type="dxa"/>
          </w:tcPr>
          <w:p w14:paraId="21E06B25" w14:textId="77777777" w:rsidR="00D9581D" w:rsidRPr="00840F4D" w:rsidRDefault="002E78D8" w:rsidP="00F01356">
            <w:r>
              <w:t>Policy</w:t>
            </w:r>
          </w:p>
        </w:tc>
        <w:tc>
          <w:tcPr>
            <w:tcW w:w="1816" w:type="dxa"/>
          </w:tcPr>
          <w:p w14:paraId="397B1C0B" w14:textId="77777777" w:rsidR="00D9581D" w:rsidRPr="00840F4D" w:rsidRDefault="00D9581D" w:rsidP="00F01356">
            <w:r w:rsidRPr="00840F4D">
              <w:t>Teacher workload advisory group report and government response</w:t>
            </w:r>
          </w:p>
          <w:p w14:paraId="42EFB547" w14:textId="77777777" w:rsidR="00D9581D" w:rsidRPr="00840F4D" w:rsidRDefault="00D9581D" w:rsidP="00F01356"/>
          <w:p w14:paraId="010A3220" w14:textId="77777777" w:rsidR="00D9581D" w:rsidRPr="00840F4D" w:rsidRDefault="00D9581D" w:rsidP="00F01356">
            <w:r w:rsidRPr="00840F4D">
              <w:t>Reducing teacher workload</w:t>
            </w:r>
          </w:p>
        </w:tc>
        <w:tc>
          <w:tcPr>
            <w:tcW w:w="1870" w:type="dxa"/>
          </w:tcPr>
          <w:p w14:paraId="7F31941E" w14:textId="77777777" w:rsidR="00D9581D" w:rsidRPr="00840F4D" w:rsidRDefault="00D9581D" w:rsidP="00F01356">
            <w:r w:rsidRPr="00840F4D">
              <w:t>Updated: 17 July 2019</w:t>
            </w:r>
          </w:p>
          <w:p w14:paraId="2C0C4055" w14:textId="77777777" w:rsidR="00D9581D" w:rsidRPr="00840F4D" w:rsidRDefault="00D9581D" w:rsidP="00F01356"/>
          <w:p w14:paraId="6D0CBE70" w14:textId="77777777" w:rsidR="00D9581D" w:rsidRPr="00840F4D" w:rsidRDefault="00D9581D" w:rsidP="00F01356"/>
          <w:p w14:paraId="1CF2CC6B" w14:textId="77777777" w:rsidR="00D9581D" w:rsidRPr="00840F4D" w:rsidRDefault="00D9581D" w:rsidP="00F01356"/>
          <w:p w14:paraId="2998F6EB" w14:textId="77777777" w:rsidR="00D9581D" w:rsidRPr="00840F4D" w:rsidRDefault="00D9581D" w:rsidP="00F01356"/>
          <w:p w14:paraId="6C456B3D" w14:textId="77777777" w:rsidR="00D9581D" w:rsidRPr="00840F4D" w:rsidRDefault="00D9581D" w:rsidP="00F01356"/>
          <w:p w14:paraId="3E2FE325" w14:textId="77777777" w:rsidR="00D9581D" w:rsidRPr="00840F4D" w:rsidRDefault="00D9581D" w:rsidP="00F01356">
            <w:r w:rsidRPr="00840F4D">
              <w:t>Updated: 19</w:t>
            </w:r>
            <w:r w:rsidRPr="00840F4D">
              <w:rPr>
                <w:vertAlign w:val="superscript"/>
              </w:rPr>
              <w:t>th</w:t>
            </w:r>
            <w:r w:rsidRPr="00840F4D">
              <w:t xml:space="preserve"> July 2019</w:t>
            </w:r>
          </w:p>
        </w:tc>
        <w:tc>
          <w:tcPr>
            <w:tcW w:w="1275" w:type="dxa"/>
          </w:tcPr>
          <w:p w14:paraId="4E29D024" w14:textId="77777777" w:rsidR="00D9581D" w:rsidRPr="00840F4D" w:rsidRDefault="00D9581D" w:rsidP="00F01356">
            <w:r w:rsidRPr="00840F4D">
              <w:t>All schools</w:t>
            </w:r>
          </w:p>
        </w:tc>
        <w:tc>
          <w:tcPr>
            <w:tcW w:w="8676" w:type="dxa"/>
          </w:tcPr>
          <w:p w14:paraId="3522DCC8" w14:textId="77777777" w:rsidR="00D9581D" w:rsidRPr="00840F4D" w:rsidRDefault="00BF1196" w:rsidP="00D9581D">
            <w:r>
              <w:t>Report and recommendations from the a</w:t>
            </w:r>
            <w:r w:rsidR="00D9581D" w:rsidRPr="00840F4D">
              <w:t>dvisory group report on removing unnecessary workload associated with data management and the government’s response</w:t>
            </w:r>
            <w:r>
              <w:t>.  Includes</w:t>
            </w:r>
            <w:r w:rsidR="002E78D8">
              <w:t xml:space="preserve"> some interesting</w:t>
            </w:r>
            <w:r>
              <w:t xml:space="preserve"> case studies and recommendations.</w:t>
            </w:r>
          </w:p>
          <w:p w14:paraId="157CA71F" w14:textId="77777777" w:rsidR="00D9581D" w:rsidRPr="00840F4D" w:rsidRDefault="003F3A55" w:rsidP="00D9581D">
            <w:hyperlink r:id="rId8" w:history="1">
              <w:r w:rsidR="00D9581D" w:rsidRPr="00840F4D">
                <w:rPr>
                  <w:rStyle w:val="Hyperlink"/>
                  <w:u w:val="none"/>
                </w:rPr>
                <w:t>https://www.gov.uk/government/publications/teacher-workload-advisory-group-report-and-government-response</w:t>
              </w:r>
            </w:hyperlink>
          </w:p>
          <w:p w14:paraId="6A240828" w14:textId="77777777" w:rsidR="00D9581D" w:rsidRPr="00840F4D" w:rsidRDefault="00D9581D" w:rsidP="00F01356"/>
          <w:p w14:paraId="281B6CD2" w14:textId="77777777" w:rsidR="00D9581D" w:rsidRPr="00840F4D" w:rsidRDefault="00BF1196" w:rsidP="00D9581D">
            <w:r>
              <w:t xml:space="preserve">This is a link to </w:t>
            </w:r>
            <w:r w:rsidR="002E78D8">
              <w:t>8</w:t>
            </w:r>
            <w:r w:rsidR="00D9581D" w:rsidRPr="00840F4D">
              <w:t xml:space="preserve"> policy</w:t>
            </w:r>
            <w:r>
              <w:t xml:space="preserve"> and guidance</w:t>
            </w:r>
            <w:r w:rsidR="00D9581D" w:rsidRPr="00840F4D">
              <w:t xml:space="preserve"> documents</w:t>
            </w:r>
            <w:r>
              <w:t xml:space="preserve"> that</w:t>
            </w:r>
            <w:r w:rsidR="00D9581D" w:rsidRPr="00840F4D">
              <w:t xml:space="preserve"> set out DfE’s commitments to reducing workload in schools</w:t>
            </w:r>
            <w:r>
              <w:t xml:space="preserve"> and all under the heading of the </w:t>
            </w:r>
            <w:r w:rsidR="002E78D8">
              <w:t>‘</w:t>
            </w:r>
            <w:r>
              <w:t>Teacher recruitment and retention strategy.</w:t>
            </w:r>
            <w:r w:rsidR="002E78D8">
              <w:t>’</w:t>
            </w:r>
            <w:r>
              <w:t xml:space="preserve">  </w:t>
            </w:r>
          </w:p>
          <w:p w14:paraId="1BFB657B" w14:textId="77777777" w:rsidR="003F3A55" w:rsidRDefault="003F3A55" w:rsidP="00D9581D"/>
          <w:p w14:paraId="3F2A7241" w14:textId="77777777" w:rsidR="00D9581D" w:rsidRPr="00840F4D" w:rsidRDefault="003F3A55" w:rsidP="00D9581D">
            <w:hyperlink r:id="rId9" w:history="1">
              <w:r w:rsidR="00D9581D" w:rsidRPr="00840F4D">
                <w:rPr>
                  <w:rStyle w:val="Hyperlink"/>
                  <w:u w:val="none"/>
                </w:rPr>
                <w:t>https://www.gov.uk/government/publications/reducing-teachers-workload</w:t>
              </w:r>
            </w:hyperlink>
          </w:p>
          <w:p w14:paraId="5A6E09C5" w14:textId="77777777" w:rsidR="00D9581D" w:rsidRPr="00840F4D" w:rsidRDefault="00D9581D" w:rsidP="00F01356"/>
        </w:tc>
      </w:tr>
      <w:tr w:rsidR="00D9581D" w:rsidRPr="00840F4D" w14:paraId="3DC5D789" w14:textId="77777777" w:rsidTr="003F3A55">
        <w:trPr>
          <w:cantSplit/>
        </w:trPr>
        <w:tc>
          <w:tcPr>
            <w:tcW w:w="1384" w:type="dxa"/>
          </w:tcPr>
          <w:p w14:paraId="375A3ED1" w14:textId="77777777" w:rsidR="00D9581D" w:rsidRPr="00840F4D" w:rsidRDefault="002E78D8" w:rsidP="00F01356">
            <w:r>
              <w:lastRenderedPageBreak/>
              <w:t>Guidance</w:t>
            </w:r>
          </w:p>
        </w:tc>
        <w:tc>
          <w:tcPr>
            <w:tcW w:w="1816" w:type="dxa"/>
          </w:tcPr>
          <w:p w14:paraId="1C28A960" w14:textId="77777777" w:rsidR="00D9581D" w:rsidRPr="00840F4D" w:rsidRDefault="00D9581D" w:rsidP="00F01356">
            <w:r w:rsidRPr="00840F4D">
              <w:t>Introduction of T Levels</w:t>
            </w:r>
          </w:p>
          <w:p w14:paraId="5EF68C5C" w14:textId="77777777" w:rsidR="00D9581D" w:rsidRPr="00840F4D" w:rsidRDefault="00D9581D" w:rsidP="00F01356"/>
          <w:p w14:paraId="33738003" w14:textId="77777777" w:rsidR="00D9581D" w:rsidRPr="00840F4D" w:rsidRDefault="00D9581D" w:rsidP="00F01356"/>
          <w:p w14:paraId="158D00FD" w14:textId="6F6564C2" w:rsidR="00D9581D" w:rsidRPr="00840F4D" w:rsidRDefault="00D9581D" w:rsidP="003F3A55">
            <w:r w:rsidRPr="00840F4D">
              <w:t>T Level transition programme framework for delivery 2020 to 2021</w:t>
            </w:r>
          </w:p>
        </w:tc>
        <w:tc>
          <w:tcPr>
            <w:tcW w:w="1870" w:type="dxa"/>
          </w:tcPr>
          <w:p w14:paraId="5D6BB789" w14:textId="77777777" w:rsidR="00D9581D" w:rsidRPr="00840F4D" w:rsidRDefault="00D9581D" w:rsidP="00F01356">
            <w:r w:rsidRPr="00840F4D">
              <w:t>Updated: 7</w:t>
            </w:r>
            <w:r w:rsidRPr="00840F4D">
              <w:rPr>
                <w:vertAlign w:val="superscript"/>
              </w:rPr>
              <w:t>th</w:t>
            </w:r>
            <w:r w:rsidRPr="00840F4D">
              <w:t xml:space="preserve"> October 2019</w:t>
            </w:r>
          </w:p>
          <w:p w14:paraId="086CE381" w14:textId="77777777" w:rsidR="00D9581D" w:rsidRPr="00840F4D" w:rsidRDefault="00D9581D" w:rsidP="00F01356"/>
          <w:p w14:paraId="54609272" w14:textId="77777777" w:rsidR="00D9581D" w:rsidRPr="00840F4D" w:rsidRDefault="00D9581D" w:rsidP="00F01356"/>
          <w:p w14:paraId="17DEFD4D" w14:textId="77777777" w:rsidR="00D9581D" w:rsidRPr="00840F4D" w:rsidRDefault="00D9581D" w:rsidP="00F01356">
            <w:r w:rsidRPr="00840F4D">
              <w:t>7 October 2019</w:t>
            </w:r>
          </w:p>
        </w:tc>
        <w:tc>
          <w:tcPr>
            <w:tcW w:w="1275" w:type="dxa"/>
          </w:tcPr>
          <w:p w14:paraId="60A83D4D" w14:textId="77777777" w:rsidR="00D9581D" w:rsidRPr="00840F4D" w:rsidRDefault="00D9581D" w:rsidP="00F01356">
            <w:r w:rsidRPr="00840F4D">
              <w:t>Secondary, Post-16, FE colleges</w:t>
            </w:r>
          </w:p>
        </w:tc>
        <w:tc>
          <w:tcPr>
            <w:tcW w:w="8676" w:type="dxa"/>
          </w:tcPr>
          <w:p w14:paraId="31449402" w14:textId="77777777" w:rsidR="00D9581D" w:rsidRDefault="002E78D8" w:rsidP="00D9581D">
            <w:r>
              <w:t>Updated information on what T-levels are being offered from Sept 2020 and a list of approved providers.  Nearest providers to Herts are based in London and Luton.</w:t>
            </w:r>
          </w:p>
          <w:p w14:paraId="05F0A910" w14:textId="77777777" w:rsidR="003F3A55" w:rsidRPr="00840F4D" w:rsidRDefault="003F3A55" w:rsidP="00D9581D"/>
          <w:p w14:paraId="2EEECCD2" w14:textId="77777777" w:rsidR="00D9581D" w:rsidRPr="00840F4D" w:rsidRDefault="003F3A55" w:rsidP="00D9581D">
            <w:hyperlink r:id="rId10" w:history="1">
              <w:r w:rsidR="00D9581D" w:rsidRPr="00840F4D">
                <w:rPr>
                  <w:rStyle w:val="Hyperlink"/>
                  <w:u w:val="none"/>
                </w:rPr>
                <w:t>https://www.gov.uk/government/publications/introduction-of-t-levels</w:t>
              </w:r>
            </w:hyperlink>
          </w:p>
          <w:p w14:paraId="1A3461B1" w14:textId="77777777" w:rsidR="00D9581D" w:rsidRPr="00840F4D" w:rsidRDefault="00D9581D" w:rsidP="00F01356"/>
          <w:p w14:paraId="66948F20" w14:textId="77777777" w:rsidR="00D9581D" w:rsidRDefault="002E78D8" w:rsidP="00D9581D">
            <w:r>
              <w:t>The T-level framework for delivery</w:t>
            </w:r>
          </w:p>
          <w:p w14:paraId="1670F195" w14:textId="77777777" w:rsidR="003F3A55" w:rsidRPr="00840F4D" w:rsidRDefault="003F3A55" w:rsidP="00D9581D"/>
          <w:p w14:paraId="6C43B7EE" w14:textId="77777777" w:rsidR="00D9581D" w:rsidRPr="00840F4D" w:rsidRDefault="003F3A55" w:rsidP="00D9581D">
            <w:hyperlink r:id="rId11" w:history="1">
              <w:r w:rsidR="00D9581D" w:rsidRPr="00840F4D">
                <w:rPr>
                  <w:rStyle w:val="Hyperlink"/>
                  <w:u w:val="none"/>
                </w:rPr>
                <w:t>https://www.gov.uk/government/publications/t-level-transition-programme-framework-for-delivery-2020-to-2021</w:t>
              </w:r>
            </w:hyperlink>
          </w:p>
          <w:p w14:paraId="7CF42895" w14:textId="77777777" w:rsidR="00D9581D" w:rsidRPr="00840F4D" w:rsidRDefault="00D9581D" w:rsidP="00F01356"/>
        </w:tc>
      </w:tr>
      <w:tr w:rsidR="00D9581D" w:rsidRPr="00840F4D" w14:paraId="6F6CE4C8" w14:textId="77777777" w:rsidTr="003F3A55">
        <w:trPr>
          <w:cantSplit/>
        </w:trPr>
        <w:tc>
          <w:tcPr>
            <w:tcW w:w="1384" w:type="dxa"/>
          </w:tcPr>
          <w:p w14:paraId="69EA82E6" w14:textId="77777777" w:rsidR="00D9581D" w:rsidRPr="00840F4D" w:rsidRDefault="00146EB8" w:rsidP="00F01356">
            <w:r>
              <w:t>Guidance</w:t>
            </w:r>
          </w:p>
        </w:tc>
        <w:tc>
          <w:tcPr>
            <w:tcW w:w="1816" w:type="dxa"/>
          </w:tcPr>
          <w:p w14:paraId="64ACB37A" w14:textId="77777777" w:rsidR="00D9581D" w:rsidRPr="00840F4D" w:rsidRDefault="00D9581D" w:rsidP="00F01356">
            <w:r w:rsidRPr="00840F4D">
              <w:t>School workforce census: guide to submitting data</w:t>
            </w:r>
          </w:p>
        </w:tc>
        <w:tc>
          <w:tcPr>
            <w:tcW w:w="1870" w:type="dxa"/>
          </w:tcPr>
          <w:p w14:paraId="506E4E2C" w14:textId="77777777" w:rsidR="00D9581D" w:rsidRPr="00840F4D" w:rsidRDefault="00D9581D" w:rsidP="00D9581D">
            <w:r w:rsidRPr="00840F4D">
              <w:t>UPDATED: 15 October 2019</w:t>
            </w:r>
          </w:p>
          <w:p w14:paraId="32B9DBAE" w14:textId="77777777" w:rsidR="00D9581D" w:rsidRPr="00840F4D" w:rsidRDefault="00D9581D" w:rsidP="00F01356"/>
        </w:tc>
        <w:tc>
          <w:tcPr>
            <w:tcW w:w="1275" w:type="dxa"/>
          </w:tcPr>
          <w:p w14:paraId="1F2D790E" w14:textId="77777777" w:rsidR="00D9581D" w:rsidRPr="00840F4D" w:rsidRDefault="0085171C" w:rsidP="00F01356">
            <w:r w:rsidRPr="00840F4D">
              <w:t>All schools</w:t>
            </w:r>
          </w:p>
        </w:tc>
        <w:tc>
          <w:tcPr>
            <w:tcW w:w="8676" w:type="dxa"/>
          </w:tcPr>
          <w:p w14:paraId="2E89D592" w14:textId="77777777" w:rsidR="00146EB8" w:rsidRPr="00840F4D" w:rsidRDefault="00146EB8" w:rsidP="00D9581D">
            <w:r>
              <w:t>Annual guidance on statutory workforce data collection.</w:t>
            </w:r>
          </w:p>
          <w:p w14:paraId="78D30074" w14:textId="77777777" w:rsidR="00D9581D" w:rsidRPr="00840F4D" w:rsidRDefault="00D9581D" w:rsidP="00F01356"/>
          <w:p w14:paraId="51C547BE" w14:textId="77777777" w:rsidR="00D9581D" w:rsidRPr="00840F4D" w:rsidRDefault="003F3A55" w:rsidP="00D9581D">
            <w:hyperlink r:id="rId12" w:history="1">
              <w:r w:rsidR="00D9581D" w:rsidRPr="00840F4D">
                <w:rPr>
                  <w:rStyle w:val="Hyperlink"/>
                  <w:u w:val="none"/>
                </w:rPr>
                <w:t>https://www.gov.uk/guidance/school-workforce-census</w:t>
              </w:r>
            </w:hyperlink>
          </w:p>
          <w:p w14:paraId="185E298E" w14:textId="77777777" w:rsidR="00D9581D" w:rsidRPr="00840F4D" w:rsidRDefault="00D9581D" w:rsidP="00F01356"/>
        </w:tc>
      </w:tr>
      <w:tr w:rsidR="00D9581D" w:rsidRPr="00840F4D" w14:paraId="7141E5DD" w14:textId="77777777" w:rsidTr="003F3A55">
        <w:trPr>
          <w:cantSplit/>
        </w:trPr>
        <w:tc>
          <w:tcPr>
            <w:tcW w:w="1384" w:type="dxa"/>
          </w:tcPr>
          <w:p w14:paraId="3F91AF56" w14:textId="77777777" w:rsidR="00D9581D" w:rsidRPr="00840F4D" w:rsidRDefault="00146EB8" w:rsidP="00F01356">
            <w:r>
              <w:t>Guidance</w:t>
            </w:r>
          </w:p>
        </w:tc>
        <w:tc>
          <w:tcPr>
            <w:tcW w:w="1816" w:type="dxa"/>
          </w:tcPr>
          <w:p w14:paraId="5300589F" w14:textId="77777777" w:rsidR="0085171C" w:rsidRPr="00840F4D" w:rsidRDefault="0085171C" w:rsidP="0085171C">
            <w:r w:rsidRPr="00840F4D">
              <w:t xml:space="preserve">Secondary accountability measures (including Progress 8 and Attainment 8) </w:t>
            </w:r>
          </w:p>
          <w:p w14:paraId="4F54B88F" w14:textId="77777777" w:rsidR="00D9581D" w:rsidRPr="00840F4D" w:rsidRDefault="00D9581D" w:rsidP="00F01356"/>
        </w:tc>
        <w:tc>
          <w:tcPr>
            <w:tcW w:w="1870" w:type="dxa"/>
          </w:tcPr>
          <w:p w14:paraId="003915E7" w14:textId="77777777" w:rsidR="0085171C" w:rsidRPr="00840F4D" w:rsidRDefault="0085171C" w:rsidP="0085171C">
            <w:r w:rsidRPr="00840F4D">
              <w:t>UPDATED: 17 October 2019</w:t>
            </w:r>
          </w:p>
          <w:p w14:paraId="2909EB21" w14:textId="77777777" w:rsidR="00D9581D" w:rsidRPr="00840F4D" w:rsidRDefault="00D9581D" w:rsidP="00F01356"/>
        </w:tc>
        <w:tc>
          <w:tcPr>
            <w:tcW w:w="1275" w:type="dxa"/>
          </w:tcPr>
          <w:p w14:paraId="7C8E0AE8" w14:textId="77777777" w:rsidR="00D9581D" w:rsidRPr="00840F4D" w:rsidRDefault="0085171C" w:rsidP="00F01356">
            <w:r w:rsidRPr="00840F4D">
              <w:t>Secondary Schools</w:t>
            </w:r>
          </w:p>
        </w:tc>
        <w:tc>
          <w:tcPr>
            <w:tcW w:w="8676" w:type="dxa"/>
          </w:tcPr>
          <w:p w14:paraId="70455E2A" w14:textId="77777777" w:rsidR="00146EB8" w:rsidRDefault="00146EB8" w:rsidP="0085171C">
            <w:r>
              <w:t>Technical guide about how</w:t>
            </w:r>
            <w:r>
              <w:rPr>
                <w:lang w:val="en"/>
              </w:rPr>
              <w:t xml:space="preserve"> secondary accountability measures have been calculated in 2017. It also gives more information about recently announced reforms that will apply to accountability measures in 2018 and 2019.</w:t>
            </w:r>
          </w:p>
          <w:p w14:paraId="303A6313" w14:textId="77777777" w:rsidR="00146EB8" w:rsidRPr="00840F4D" w:rsidRDefault="00146EB8" w:rsidP="0085171C"/>
          <w:p w14:paraId="4AF7A672" w14:textId="77777777" w:rsidR="0085171C" w:rsidRPr="00840F4D" w:rsidRDefault="003F3A55" w:rsidP="0085171C">
            <w:hyperlink r:id="rId13" w:history="1">
              <w:r w:rsidR="0085171C" w:rsidRPr="00840F4D">
                <w:rPr>
                  <w:rStyle w:val="Hyperlink"/>
                  <w:u w:val="none"/>
                </w:rPr>
                <w:t>https://www.gov.uk/government/publications/progress-8-school-performance-measure</w:t>
              </w:r>
            </w:hyperlink>
          </w:p>
          <w:p w14:paraId="19B93563" w14:textId="77777777" w:rsidR="00D9581D" w:rsidRPr="00840F4D" w:rsidRDefault="00D9581D" w:rsidP="00F01356"/>
        </w:tc>
      </w:tr>
      <w:tr w:rsidR="00D9581D" w:rsidRPr="00840F4D" w14:paraId="30B42ACE" w14:textId="77777777" w:rsidTr="003F3A55">
        <w:trPr>
          <w:cantSplit/>
        </w:trPr>
        <w:tc>
          <w:tcPr>
            <w:tcW w:w="1384" w:type="dxa"/>
          </w:tcPr>
          <w:p w14:paraId="081C3365" w14:textId="77777777" w:rsidR="0085171C" w:rsidRPr="00840F4D" w:rsidRDefault="00146EB8" w:rsidP="0085171C">
            <w:pPr>
              <w:rPr>
                <w:rFonts w:eastAsia="Times New Roman" w:cs="Times New Roman"/>
                <w:bCs/>
                <w:kern w:val="36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Guidance</w:t>
            </w:r>
          </w:p>
          <w:p w14:paraId="3CEC5094" w14:textId="77777777" w:rsidR="00D9581D" w:rsidRPr="00840F4D" w:rsidRDefault="00D9581D" w:rsidP="00F01356"/>
        </w:tc>
        <w:tc>
          <w:tcPr>
            <w:tcW w:w="1816" w:type="dxa"/>
          </w:tcPr>
          <w:p w14:paraId="50DC2205" w14:textId="77777777" w:rsidR="00D9581D" w:rsidRPr="00840F4D" w:rsidRDefault="0085171C" w:rsidP="00F01356">
            <w:r w:rsidRPr="00840F4D">
              <w:rPr>
                <w:rFonts w:eastAsia="Times New Roman" w:cs="Times New Roman"/>
                <w:bCs/>
                <w:kern w:val="36"/>
                <w:lang w:val="en" w:eastAsia="en-GB"/>
              </w:rPr>
              <w:t>School food standards: resources for schools</w:t>
            </w:r>
          </w:p>
        </w:tc>
        <w:tc>
          <w:tcPr>
            <w:tcW w:w="1870" w:type="dxa"/>
          </w:tcPr>
          <w:p w14:paraId="2811F502" w14:textId="77777777" w:rsidR="00D9581D" w:rsidRPr="00840F4D" w:rsidRDefault="0085171C" w:rsidP="00F01356">
            <w:r w:rsidRPr="00840F4D">
              <w:rPr>
                <w:rFonts w:eastAsia="Times New Roman" w:cs="Times New Roman"/>
                <w:lang w:val="en" w:eastAsia="en-GB"/>
              </w:rPr>
              <w:t>UPDATED: 18 October 2019</w:t>
            </w:r>
          </w:p>
        </w:tc>
        <w:tc>
          <w:tcPr>
            <w:tcW w:w="1275" w:type="dxa"/>
          </w:tcPr>
          <w:p w14:paraId="53F10360" w14:textId="77777777" w:rsidR="00D9581D" w:rsidRPr="00840F4D" w:rsidRDefault="0085171C" w:rsidP="00F01356">
            <w:r w:rsidRPr="00840F4D">
              <w:t>All schools</w:t>
            </w:r>
            <w:r w:rsidR="00220A66">
              <w:t>, including governors.</w:t>
            </w:r>
          </w:p>
        </w:tc>
        <w:tc>
          <w:tcPr>
            <w:tcW w:w="8676" w:type="dxa"/>
          </w:tcPr>
          <w:p w14:paraId="601B55CF" w14:textId="77777777" w:rsidR="0085171C" w:rsidRDefault="00146EB8" w:rsidP="0085171C">
            <w:pPr>
              <w:rPr>
                <w:rFonts w:eastAsia="Times New Roman" w:cs="Times New Roman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lang w:val="en" w:eastAsia="en-GB"/>
              </w:rPr>
              <w:t>Colourful</w:t>
            </w:r>
            <w:proofErr w:type="spellEnd"/>
            <w:r>
              <w:rPr>
                <w:rFonts w:eastAsia="Times New Roman" w:cs="Times New Roman"/>
                <w:lang w:val="en" w:eastAsia="en-GB"/>
              </w:rPr>
              <w:t xml:space="preserve"> and simple </w:t>
            </w:r>
            <w:r w:rsidR="00A9326A">
              <w:rPr>
                <w:rFonts w:eastAsia="Times New Roman" w:cs="Times New Roman"/>
                <w:lang w:val="en" w:eastAsia="en-GB"/>
              </w:rPr>
              <w:t xml:space="preserve">to use </w:t>
            </w:r>
            <w:r>
              <w:rPr>
                <w:rFonts w:eastAsia="Times New Roman" w:cs="Times New Roman"/>
                <w:lang w:val="en" w:eastAsia="en-GB"/>
              </w:rPr>
              <w:t>r</w:t>
            </w:r>
            <w:r w:rsidR="0085171C" w:rsidRPr="00840F4D">
              <w:rPr>
                <w:rFonts w:eastAsia="Times New Roman" w:cs="Times New Roman"/>
                <w:lang w:val="en" w:eastAsia="en-GB"/>
              </w:rPr>
              <w:t>esources to help schools plan and provide healthy food in schools</w:t>
            </w:r>
            <w:r>
              <w:rPr>
                <w:rFonts w:eastAsia="Times New Roman" w:cs="Times New Roman"/>
                <w:lang w:val="en" w:eastAsia="en-GB"/>
              </w:rPr>
              <w:t xml:space="preserve"> including a guide for governors.</w:t>
            </w:r>
          </w:p>
          <w:p w14:paraId="13B7E189" w14:textId="77777777" w:rsidR="00146EB8" w:rsidRDefault="00146EB8" w:rsidP="0085171C">
            <w:pPr>
              <w:rPr>
                <w:rFonts w:eastAsia="Times New Roman" w:cs="Times New Roman"/>
                <w:lang w:val="en" w:eastAsia="en-GB"/>
              </w:rPr>
            </w:pPr>
          </w:p>
          <w:p w14:paraId="004A9BDB" w14:textId="77777777" w:rsidR="0085171C" w:rsidRPr="00840F4D" w:rsidRDefault="003F3A55" w:rsidP="0085171C">
            <w:pPr>
              <w:rPr>
                <w:rFonts w:eastAsia="Times New Roman" w:cs="Times New Roman"/>
                <w:lang w:val="en" w:eastAsia="en-GB"/>
              </w:rPr>
            </w:pPr>
            <w:hyperlink r:id="rId14" w:history="1">
              <w:r w:rsidR="0085171C" w:rsidRPr="00840F4D">
                <w:rPr>
                  <w:rStyle w:val="Hyperlink"/>
                  <w:rFonts w:eastAsia="Times New Roman" w:cs="Times New Roman"/>
                  <w:u w:val="none"/>
                  <w:lang w:val="en" w:eastAsia="en-GB"/>
                </w:rPr>
                <w:t>https://www.gov.uk/government/publications/school-food-standards-resources-for-schools</w:t>
              </w:r>
            </w:hyperlink>
          </w:p>
          <w:p w14:paraId="4949D66F" w14:textId="77777777" w:rsidR="00D9581D" w:rsidRPr="00840F4D" w:rsidRDefault="00D9581D" w:rsidP="00F01356"/>
        </w:tc>
      </w:tr>
      <w:tr w:rsidR="00D9581D" w:rsidRPr="00840F4D" w14:paraId="2E4543D5" w14:textId="77777777" w:rsidTr="003F3A55">
        <w:trPr>
          <w:cantSplit/>
        </w:trPr>
        <w:tc>
          <w:tcPr>
            <w:tcW w:w="1384" w:type="dxa"/>
          </w:tcPr>
          <w:p w14:paraId="0ADAF7D5" w14:textId="77777777" w:rsidR="00D9581D" w:rsidRPr="00840F4D" w:rsidRDefault="0085171C" w:rsidP="00F01356">
            <w:r w:rsidRPr="00840F4D">
              <w:t>G</w:t>
            </w:r>
            <w:r w:rsidR="00220A66">
              <w:t>uidance</w:t>
            </w:r>
          </w:p>
        </w:tc>
        <w:tc>
          <w:tcPr>
            <w:tcW w:w="1816" w:type="dxa"/>
          </w:tcPr>
          <w:p w14:paraId="0D625570" w14:textId="77777777" w:rsidR="00D9581D" w:rsidRPr="00840F4D" w:rsidRDefault="0085171C" w:rsidP="00F01356">
            <w:r w:rsidRPr="00840F4D">
              <w:t>Pupil premium: effective use and accountability</w:t>
            </w:r>
          </w:p>
        </w:tc>
        <w:tc>
          <w:tcPr>
            <w:tcW w:w="1870" w:type="dxa"/>
          </w:tcPr>
          <w:p w14:paraId="10745FDD" w14:textId="77777777" w:rsidR="00D9581D" w:rsidRPr="00840F4D" w:rsidRDefault="0085171C" w:rsidP="00F01356">
            <w:r w:rsidRPr="00840F4D">
              <w:t>18 October 2019</w:t>
            </w:r>
          </w:p>
        </w:tc>
        <w:tc>
          <w:tcPr>
            <w:tcW w:w="1275" w:type="dxa"/>
          </w:tcPr>
          <w:p w14:paraId="5B8E6146" w14:textId="77777777" w:rsidR="00D9581D" w:rsidRPr="00840F4D" w:rsidRDefault="0085171C" w:rsidP="00F01356">
            <w:r w:rsidRPr="00840F4D">
              <w:t>All schools</w:t>
            </w:r>
          </w:p>
        </w:tc>
        <w:tc>
          <w:tcPr>
            <w:tcW w:w="8676" w:type="dxa"/>
          </w:tcPr>
          <w:p w14:paraId="003698EB" w14:textId="77777777" w:rsidR="0085171C" w:rsidRDefault="00220A66" w:rsidP="0085171C">
            <w:r>
              <w:t>A mixture of statutory and non-statutory guidance</w:t>
            </w:r>
            <w:r w:rsidR="0085171C" w:rsidRPr="00840F4D">
              <w:t xml:space="preserve"> school leaders</w:t>
            </w:r>
            <w:r>
              <w:t xml:space="preserve"> and governors on</w:t>
            </w:r>
            <w:r w:rsidR="0085171C" w:rsidRPr="00840F4D">
              <w:t xml:space="preserve"> can manage their pupil premium funding, including</w:t>
            </w:r>
            <w:r>
              <w:t xml:space="preserve"> types of activity it can be spent on, type of pupils as well as</w:t>
            </w:r>
            <w:r w:rsidR="0085171C" w:rsidRPr="00840F4D">
              <w:t xml:space="preserve"> reporting procedures and online statements</w:t>
            </w:r>
            <w:r>
              <w:t>.  There are also links to some really useful documents published by the EEF specifically on PPG pupils and closing the attainment gap.</w:t>
            </w:r>
          </w:p>
          <w:p w14:paraId="499524B8" w14:textId="77777777" w:rsidR="00146EB8" w:rsidRDefault="00146EB8" w:rsidP="0085171C"/>
          <w:p w14:paraId="386E83E8" w14:textId="77777777" w:rsidR="0085171C" w:rsidRPr="00840F4D" w:rsidRDefault="003F3A55" w:rsidP="0085171C">
            <w:hyperlink r:id="rId15" w:history="1">
              <w:r w:rsidR="0085171C" w:rsidRPr="00840F4D">
                <w:rPr>
                  <w:rStyle w:val="Hyperlink"/>
                  <w:u w:val="none"/>
                </w:rPr>
                <w:t>https://www.gov.uk/guidance/pupil-premium-effective-use-and-accountability</w:t>
              </w:r>
            </w:hyperlink>
          </w:p>
          <w:p w14:paraId="02C72E3B" w14:textId="77777777" w:rsidR="00D9581D" w:rsidRPr="00840F4D" w:rsidRDefault="00D9581D" w:rsidP="00F01356"/>
        </w:tc>
      </w:tr>
      <w:tr w:rsidR="0085171C" w:rsidRPr="00840F4D" w14:paraId="0E67A07F" w14:textId="77777777" w:rsidTr="003F3A55">
        <w:trPr>
          <w:cantSplit/>
        </w:trPr>
        <w:tc>
          <w:tcPr>
            <w:tcW w:w="1384" w:type="dxa"/>
          </w:tcPr>
          <w:p w14:paraId="32481747" w14:textId="77777777" w:rsidR="0085171C" w:rsidRPr="00840F4D" w:rsidRDefault="00F35420" w:rsidP="00F01356">
            <w:pPr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lastRenderedPageBreak/>
              <w:t>Guidance</w:t>
            </w:r>
          </w:p>
        </w:tc>
        <w:tc>
          <w:tcPr>
            <w:tcW w:w="1816" w:type="dxa"/>
          </w:tcPr>
          <w:p w14:paraId="12B1C18F" w14:textId="77777777" w:rsidR="0085171C" w:rsidRPr="00840F4D" w:rsidRDefault="0085171C" w:rsidP="0085171C">
            <w:pPr>
              <w:rPr>
                <w:rFonts w:eastAsia="Times New Roman" w:cs="Times New Roman"/>
                <w:bCs/>
                <w:kern w:val="36"/>
                <w:lang w:val="en" w:eastAsia="en-GB"/>
              </w:rPr>
            </w:pPr>
            <w:r w:rsidRPr="00840F4D">
              <w:rPr>
                <w:lang w:val="en"/>
              </w:rPr>
              <w:t>Schools financial value standard (SFVS)</w:t>
            </w:r>
          </w:p>
        </w:tc>
        <w:tc>
          <w:tcPr>
            <w:tcW w:w="1870" w:type="dxa"/>
          </w:tcPr>
          <w:p w14:paraId="485B385B" w14:textId="77777777" w:rsidR="0085171C" w:rsidRPr="00840F4D" w:rsidRDefault="0085171C" w:rsidP="00F01356">
            <w:pPr>
              <w:rPr>
                <w:rFonts w:eastAsia="Times New Roman" w:cs="Times New Roman"/>
                <w:lang w:val="en" w:eastAsia="en-GB"/>
              </w:rPr>
            </w:pPr>
            <w:r w:rsidRPr="00840F4D">
              <w:t>UPDATED: 5 November 2019</w:t>
            </w:r>
          </w:p>
        </w:tc>
        <w:tc>
          <w:tcPr>
            <w:tcW w:w="1275" w:type="dxa"/>
          </w:tcPr>
          <w:p w14:paraId="6E8DD7BE" w14:textId="77777777" w:rsidR="0085171C" w:rsidRPr="00840F4D" w:rsidRDefault="00F35420" w:rsidP="00F01356">
            <w:r>
              <w:t>All school leaders, including governors.</w:t>
            </w:r>
          </w:p>
        </w:tc>
        <w:tc>
          <w:tcPr>
            <w:tcW w:w="8676" w:type="dxa"/>
          </w:tcPr>
          <w:p w14:paraId="529A8850" w14:textId="77777777" w:rsidR="00F35420" w:rsidRDefault="00F35420" w:rsidP="0085171C">
            <w:pPr>
              <w:rPr>
                <w:lang w:val="en"/>
              </w:rPr>
            </w:pPr>
            <w:r>
              <w:rPr>
                <w:lang w:val="en"/>
              </w:rPr>
              <w:t>The schools financial value standard helps to provide governing bodies with assurance that the school is meeting the basic standards necessary to achieve a good level of financial health and resource management. The tool can be used to identify possible areas for change to ensure that resources are being used to support high-quality teaching and the best education outcomes for pupils.</w:t>
            </w:r>
          </w:p>
          <w:p w14:paraId="1FD758E5" w14:textId="77777777" w:rsidR="003F3A55" w:rsidRPr="00840F4D" w:rsidRDefault="003F3A55" w:rsidP="0085171C"/>
          <w:p w14:paraId="0D6C3B4F" w14:textId="77777777" w:rsidR="0085171C" w:rsidRPr="00840F4D" w:rsidRDefault="003F3A55" w:rsidP="0085171C">
            <w:hyperlink r:id="rId16" w:history="1">
              <w:r w:rsidR="0085171C" w:rsidRPr="00840F4D">
                <w:rPr>
                  <w:rStyle w:val="Hyperlink"/>
                  <w:u w:val="none"/>
                </w:rPr>
                <w:t>https://www.gov.uk/government/publications/schools-financial-value-standard-sfvs</w:t>
              </w:r>
            </w:hyperlink>
          </w:p>
          <w:p w14:paraId="0C2BFBCD" w14:textId="77777777" w:rsidR="0085171C" w:rsidRPr="00840F4D" w:rsidRDefault="0085171C" w:rsidP="0085171C">
            <w:pPr>
              <w:rPr>
                <w:rFonts w:eastAsia="Times New Roman" w:cs="Times New Roman"/>
                <w:lang w:val="en" w:eastAsia="en-GB"/>
              </w:rPr>
            </w:pPr>
          </w:p>
        </w:tc>
      </w:tr>
      <w:tr w:rsidR="0085171C" w:rsidRPr="00840F4D" w14:paraId="03E30FBF" w14:textId="77777777" w:rsidTr="003F3A55">
        <w:trPr>
          <w:cantSplit/>
        </w:trPr>
        <w:tc>
          <w:tcPr>
            <w:tcW w:w="1384" w:type="dxa"/>
          </w:tcPr>
          <w:p w14:paraId="3884E461" w14:textId="77777777" w:rsidR="0085171C" w:rsidRPr="00840F4D" w:rsidRDefault="00F35420" w:rsidP="00F01356">
            <w:pPr>
              <w:rPr>
                <w:rFonts w:eastAsia="Times New Roman" w:cs="Times New Roman"/>
                <w:lang w:val="en" w:eastAsia="en-GB"/>
              </w:rPr>
            </w:pPr>
            <w:r>
              <w:rPr>
                <w:lang w:val="en"/>
              </w:rPr>
              <w:t>Press Release</w:t>
            </w:r>
          </w:p>
        </w:tc>
        <w:tc>
          <w:tcPr>
            <w:tcW w:w="1816" w:type="dxa"/>
          </w:tcPr>
          <w:p w14:paraId="5D3A3893" w14:textId="77777777" w:rsidR="0085171C" w:rsidRPr="00840F4D" w:rsidRDefault="00A95A1B" w:rsidP="0085171C">
            <w:pPr>
              <w:rPr>
                <w:lang w:val="en"/>
              </w:rPr>
            </w:pPr>
            <w:r w:rsidRPr="00840F4D">
              <w:rPr>
                <w:lang w:val="en"/>
              </w:rPr>
              <w:t>New drive to continue boosting standards in schools</w:t>
            </w:r>
          </w:p>
        </w:tc>
        <w:tc>
          <w:tcPr>
            <w:tcW w:w="1870" w:type="dxa"/>
          </w:tcPr>
          <w:p w14:paraId="1D99495A" w14:textId="77777777" w:rsidR="0085171C" w:rsidRPr="00840F4D" w:rsidRDefault="00A95A1B" w:rsidP="00F01356">
            <w:r w:rsidRPr="00840F4D">
              <w:t>1 September 2019</w:t>
            </w:r>
          </w:p>
        </w:tc>
        <w:tc>
          <w:tcPr>
            <w:tcW w:w="1275" w:type="dxa"/>
          </w:tcPr>
          <w:p w14:paraId="1C9FD565" w14:textId="77777777" w:rsidR="0085171C" w:rsidRPr="00840F4D" w:rsidRDefault="0085171C" w:rsidP="00F01356"/>
        </w:tc>
        <w:tc>
          <w:tcPr>
            <w:tcW w:w="8676" w:type="dxa"/>
          </w:tcPr>
          <w:p w14:paraId="3ACA330C" w14:textId="77777777" w:rsidR="00A95A1B" w:rsidRDefault="00A95A1B" w:rsidP="00A95A1B">
            <w:pPr>
              <w:rPr>
                <w:lang w:val="en"/>
              </w:rPr>
            </w:pPr>
            <w:r w:rsidRPr="00840F4D">
              <w:rPr>
                <w:lang w:val="en"/>
              </w:rPr>
              <w:t xml:space="preserve">New measures announced to continue raising standards in schools, including lifting the exemption on </w:t>
            </w:r>
            <w:r w:rsidR="00F35420">
              <w:rPr>
                <w:lang w:val="en"/>
              </w:rPr>
              <w:t>school inspections for outstanding schools</w:t>
            </w:r>
            <w:r w:rsidRPr="00840F4D">
              <w:rPr>
                <w:lang w:val="en"/>
              </w:rPr>
              <w:t xml:space="preserve"> and more support for </w:t>
            </w:r>
            <w:r w:rsidR="00F35420">
              <w:rPr>
                <w:lang w:val="en"/>
              </w:rPr>
              <w:t xml:space="preserve">schools consistently rated as RI. </w:t>
            </w:r>
            <w:r w:rsidR="00A9326A">
              <w:rPr>
                <w:lang w:val="en"/>
              </w:rPr>
              <w:t>Announcement of m</w:t>
            </w:r>
            <w:r w:rsidR="00F35420">
              <w:rPr>
                <w:lang w:val="en"/>
              </w:rPr>
              <w:t>ore funding for strongest academy trusts to expand to support struggling schools and the piloting of a new academy trust in the north</w:t>
            </w:r>
            <w:r w:rsidR="00A9326A">
              <w:rPr>
                <w:lang w:val="en"/>
              </w:rPr>
              <w:t xml:space="preserve"> of England</w:t>
            </w:r>
            <w:r w:rsidR="00F35420">
              <w:rPr>
                <w:lang w:val="en"/>
              </w:rPr>
              <w:t xml:space="preserve"> to sponsor the most challenging schools.</w:t>
            </w:r>
          </w:p>
          <w:p w14:paraId="1848DCA7" w14:textId="77777777" w:rsidR="00F35420" w:rsidRPr="00840F4D" w:rsidRDefault="00F35420" w:rsidP="00A95A1B"/>
          <w:p w14:paraId="3E45AC70" w14:textId="77777777" w:rsidR="00A95A1B" w:rsidRPr="00840F4D" w:rsidRDefault="003F3A55" w:rsidP="00A95A1B">
            <w:hyperlink r:id="rId17" w:history="1">
              <w:r w:rsidR="00A95A1B" w:rsidRPr="00840F4D">
                <w:rPr>
                  <w:rStyle w:val="Hyperlink"/>
                  <w:u w:val="none"/>
                </w:rPr>
                <w:t>https://www.gov.uk/government/news/new-drive-to-continue-boosting-standards-in-schools</w:t>
              </w:r>
            </w:hyperlink>
          </w:p>
          <w:p w14:paraId="11F52041" w14:textId="77777777" w:rsidR="0085171C" w:rsidRPr="00840F4D" w:rsidRDefault="0085171C" w:rsidP="0085171C">
            <w:pPr>
              <w:rPr>
                <w:lang w:val="en"/>
              </w:rPr>
            </w:pPr>
          </w:p>
        </w:tc>
      </w:tr>
      <w:tr w:rsidR="0085171C" w:rsidRPr="00840F4D" w14:paraId="0FC09987" w14:textId="77777777" w:rsidTr="003F3A55">
        <w:trPr>
          <w:cantSplit/>
        </w:trPr>
        <w:tc>
          <w:tcPr>
            <w:tcW w:w="1384" w:type="dxa"/>
          </w:tcPr>
          <w:p w14:paraId="38DFB35B" w14:textId="77777777" w:rsidR="00A95A1B" w:rsidRPr="00840F4D" w:rsidRDefault="00A9326A" w:rsidP="00A95A1B">
            <w:pPr>
              <w:rPr>
                <w:smallCaps/>
                <w:lang w:val="en"/>
              </w:rPr>
            </w:pPr>
            <w:r>
              <w:rPr>
                <w:lang w:val="en"/>
              </w:rPr>
              <w:t>Information</w:t>
            </w:r>
          </w:p>
          <w:p w14:paraId="78F080E6" w14:textId="77777777" w:rsidR="0085171C" w:rsidRPr="00840F4D" w:rsidRDefault="0085171C" w:rsidP="00F01356">
            <w:pPr>
              <w:rPr>
                <w:rFonts w:eastAsia="Times New Roman" w:cs="Times New Roman"/>
                <w:lang w:val="en" w:eastAsia="en-GB"/>
              </w:rPr>
            </w:pPr>
          </w:p>
        </w:tc>
        <w:tc>
          <w:tcPr>
            <w:tcW w:w="1816" w:type="dxa"/>
          </w:tcPr>
          <w:p w14:paraId="3D8DE566" w14:textId="77777777" w:rsidR="0085171C" w:rsidRPr="00840F4D" w:rsidRDefault="00A95A1B" w:rsidP="0085171C">
            <w:pPr>
              <w:rPr>
                <w:lang w:val="en"/>
              </w:rPr>
            </w:pPr>
            <w:r w:rsidRPr="00840F4D">
              <w:rPr>
                <w:lang w:val="en"/>
              </w:rPr>
              <w:t>Major review into support for children with special educational needs</w:t>
            </w:r>
          </w:p>
        </w:tc>
        <w:tc>
          <w:tcPr>
            <w:tcW w:w="1870" w:type="dxa"/>
          </w:tcPr>
          <w:p w14:paraId="07A65EFD" w14:textId="77777777" w:rsidR="0085171C" w:rsidRPr="00840F4D" w:rsidRDefault="00A95A1B" w:rsidP="00F01356">
            <w:r w:rsidRPr="00840F4D">
              <w:t>6 September 2019</w:t>
            </w:r>
          </w:p>
        </w:tc>
        <w:tc>
          <w:tcPr>
            <w:tcW w:w="1275" w:type="dxa"/>
          </w:tcPr>
          <w:p w14:paraId="1496B6BA" w14:textId="77777777" w:rsidR="0085171C" w:rsidRPr="00840F4D" w:rsidRDefault="0085171C" w:rsidP="00F01356"/>
        </w:tc>
        <w:tc>
          <w:tcPr>
            <w:tcW w:w="8676" w:type="dxa"/>
          </w:tcPr>
          <w:p w14:paraId="74ECB47D" w14:textId="77777777" w:rsidR="00A95A1B" w:rsidRDefault="00A95A1B" w:rsidP="00A95A1B">
            <w:r w:rsidRPr="00840F4D">
              <w:t>New review launches to improve support for children with additional needs</w:t>
            </w:r>
            <w:r w:rsidR="000C1763">
              <w:t xml:space="preserve">.  Announced on the back of </w:t>
            </w:r>
            <w:r w:rsidR="00A9326A">
              <w:t>the announcement of £700million in 2020/21 for SEND pupils.</w:t>
            </w:r>
          </w:p>
          <w:p w14:paraId="37D52515" w14:textId="77777777" w:rsidR="00A9326A" w:rsidRDefault="00A9326A" w:rsidP="00A95A1B"/>
          <w:p w14:paraId="49336078" w14:textId="77777777" w:rsidR="00A95A1B" w:rsidRPr="00840F4D" w:rsidRDefault="003F3A55" w:rsidP="00A95A1B">
            <w:hyperlink r:id="rId18" w:history="1">
              <w:r w:rsidR="00A95A1B" w:rsidRPr="00840F4D">
                <w:rPr>
                  <w:rStyle w:val="Hyperlink"/>
                  <w:u w:val="none"/>
                </w:rPr>
                <w:t>https://www.gov.uk/government/news/major-review-into-support-for-children-with-special-educational-needs</w:t>
              </w:r>
            </w:hyperlink>
          </w:p>
          <w:p w14:paraId="5308B2CF" w14:textId="77777777" w:rsidR="0085171C" w:rsidRPr="00840F4D" w:rsidRDefault="0085171C" w:rsidP="0085171C">
            <w:pPr>
              <w:rPr>
                <w:lang w:val="en"/>
              </w:rPr>
            </w:pPr>
          </w:p>
        </w:tc>
      </w:tr>
      <w:tr w:rsidR="0085171C" w:rsidRPr="00840F4D" w14:paraId="33A38765" w14:textId="77777777" w:rsidTr="003F3A55">
        <w:trPr>
          <w:cantSplit/>
        </w:trPr>
        <w:tc>
          <w:tcPr>
            <w:tcW w:w="1384" w:type="dxa"/>
          </w:tcPr>
          <w:p w14:paraId="6ACE79DA" w14:textId="77777777" w:rsidR="0085171C" w:rsidRPr="00840F4D" w:rsidRDefault="00A9326A" w:rsidP="00F01356">
            <w:pPr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Information</w:t>
            </w:r>
          </w:p>
        </w:tc>
        <w:tc>
          <w:tcPr>
            <w:tcW w:w="1816" w:type="dxa"/>
          </w:tcPr>
          <w:p w14:paraId="0E2587AD" w14:textId="77777777" w:rsidR="00A95A1B" w:rsidRPr="00840F4D" w:rsidRDefault="00A95A1B" w:rsidP="00A95A1B">
            <w:r w:rsidRPr="00840F4D">
              <w:t>Relationships education, relationships and sex education (RSE) and health education: FAQs</w:t>
            </w:r>
          </w:p>
          <w:p w14:paraId="50D2A57A" w14:textId="77777777" w:rsidR="0085171C" w:rsidRPr="00840F4D" w:rsidRDefault="0085171C" w:rsidP="0085171C">
            <w:pPr>
              <w:rPr>
                <w:lang w:val="en"/>
              </w:rPr>
            </w:pPr>
          </w:p>
        </w:tc>
        <w:tc>
          <w:tcPr>
            <w:tcW w:w="1870" w:type="dxa"/>
          </w:tcPr>
          <w:p w14:paraId="3C232AEA" w14:textId="77777777" w:rsidR="0085171C" w:rsidRPr="00840F4D" w:rsidRDefault="00A95A1B" w:rsidP="00F01356">
            <w:r w:rsidRPr="00840F4D">
              <w:t>5 November 2019</w:t>
            </w:r>
          </w:p>
        </w:tc>
        <w:tc>
          <w:tcPr>
            <w:tcW w:w="1275" w:type="dxa"/>
          </w:tcPr>
          <w:p w14:paraId="2C321492" w14:textId="77777777" w:rsidR="0085171C" w:rsidRPr="00840F4D" w:rsidRDefault="0085171C" w:rsidP="00F01356"/>
        </w:tc>
        <w:tc>
          <w:tcPr>
            <w:tcW w:w="8676" w:type="dxa"/>
          </w:tcPr>
          <w:p w14:paraId="184BFC68" w14:textId="77777777" w:rsidR="00A95A1B" w:rsidRDefault="00A9326A" w:rsidP="00A95A1B">
            <w:r>
              <w:t>Really useful i</w:t>
            </w:r>
            <w:r w:rsidR="00A95A1B" w:rsidRPr="00840F4D">
              <w:t>nformation from the Department for Education about the introduction of compulsory relationships education and RSE from September 2020</w:t>
            </w:r>
            <w:r>
              <w:t>.  Includes a useful Q&amp;A for school leaders, teachers and governors to help with conversations with parents.</w:t>
            </w:r>
          </w:p>
          <w:p w14:paraId="361EF3AE" w14:textId="77777777" w:rsidR="00A9326A" w:rsidRDefault="00A9326A" w:rsidP="00A95A1B"/>
          <w:p w14:paraId="6165A74D" w14:textId="77777777" w:rsidR="00A95A1B" w:rsidRPr="00840F4D" w:rsidRDefault="003F3A55" w:rsidP="00A95A1B">
            <w:hyperlink r:id="rId19" w:history="1">
              <w:r w:rsidR="00A95A1B" w:rsidRPr="00840F4D">
                <w:rPr>
                  <w:rStyle w:val="Hyperlink"/>
                  <w:u w:val="none"/>
                </w:rPr>
                <w:t>https://www.gov.uk/government/news/relationships-education-relationships-and-sex-education-rse-and-health-education-faqs</w:t>
              </w:r>
            </w:hyperlink>
          </w:p>
          <w:p w14:paraId="13D02837" w14:textId="77777777" w:rsidR="0085171C" w:rsidRPr="00840F4D" w:rsidRDefault="0085171C" w:rsidP="0085171C">
            <w:pPr>
              <w:rPr>
                <w:lang w:val="en"/>
              </w:rPr>
            </w:pPr>
          </w:p>
        </w:tc>
      </w:tr>
    </w:tbl>
    <w:p w14:paraId="238DF720" w14:textId="77777777" w:rsidR="00D9581D" w:rsidRDefault="00D9581D" w:rsidP="00F01356">
      <w:pPr>
        <w:spacing w:after="0" w:line="240" w:lineRule="auto"/>
        <w:rPr>
          <w:b/>
          <w:u w:val="single"/>
        </w:rPr>
      </w:pPr>
    </w:p>
    <w:p w14:paraId="184E3A67" w14:textId="77777777" w:rsidR="00D9581D" w:rsidRDefault="00D9581D" w:rsidP="00F01356">
      <w:pPr>
        <w:spacing w:after="0" w:line="240" w:lineRule="auto"/>
        <w:rPr>
          <w:b/>
          <w:u w:val="single"/>
        </w:rPr>
      </w:pPr>
    </w:p>
    <w:p w14:paraId="2D7BEEDD" w14:textId="77777777" w:rsidR="00536285" w:rsidRPr="003413BB" w:rsidRDefault="00536285" w:rsidP="00536285">
      <w:pPr>
        <w:spacing w:after="0" w:line="240" w:lineRule="auto"/>
      </w:pPr>
      <w:bookmarkStart w:id="0" w:name="_GoBack"/>
      <w:bookmarkEnd w:id="0"/>
    </w:p>
    <w:p w14:paraId="06876955" w14:textId="77777777" w:rsidR="00B85A09" w:rsidRPr="003413BB" w:rsidRDefault="00B85A09" w:rsidP="00536285">
      <w:pPr>
        <w:spacing w:after="0" w:line="240" w:lineRule="auto"/>
      </w:pPr>
      <w:r w:rsidRPr="003413BB">
        <w:br w:type="page"/>
      </w:r>
    </w:p>
    <w:p w14:paraId="13E09B94" w14:textId="77777777" w:rsidR="00C95797" w:rsidRPr="003413BB" w:rsidRDefault="007B31C1" w:rsidP="007B31C1">
      <w:pPr>
        <w:spacing w:after="0" w:line="240" w:lineRule="auto"/>
        <w:rPr>
          <w:b/>
          <w:u w:val="single"/>
        </w:rPr>
      </w:pPr>
      <w:r w:rsidRPr="003413BB">
        <w:rPr>
          <w:b/>
          <w:u w:val="single"/>
        </w:rPr>
        <w:lastRenderedPageBreak/>
        <w:t>OFSTED HMCI COMMENTARIES</w:t>
      </w:r>
    </w:p>
    <w:p w14:paraId="2ABD2AFF" w14:textId="77777777" w:rsidR="003413BB" w:rsidRDefault="003413BB" w:rsidP="007B31C1">
      <w:pPr>
        <w:spacing w:after="0" w:line="240" w:lineRule="auto"/>
        <w:rPr>
          <w:b/>
        </w:rPr>
      </w:pPr>
    </w:p>
    <w:p w14:paraId="36275540" w14:textId="77777777" w:rsidR="003413BB" w:rsidRPr="003413BB" w:rsidRDefault="003413BB" w:rsidP="007B31C1">
      <w:pPr>
        <w:spacing w:after="0" w:line="240" w:lineRule="auto"/>
        <w:rPr>
          <w:b/>
        </w:rPr>
      </w:pPr>
    </w:p>
    <w:p w14:paraId="1DFE3F36" w14:textId="77777777" w:rsidR="003413BB" w:rsidRPr="003413BB" w:rsidRDefault="003413BB" w:rsidP="003413BB">
      <w:pPr>
        <w:spacing w:after="0" w:line="240" w:lineRule="auto"/>
        <w:rPr>
          <w:b/>
        </w:rPr>
      </w:pPr>
      <w:r w:rsidRPr="003413BB">
        <w:rPr>
          <w:b/>
          <w:lang w:val="en"/>
        </w:rPr>
        <w:t>HMCI commentary: the roles of inspection and autonomy</w:t>
      </w:r>
    </w:p>
    <w:p w14:paraId="3DCBAE9E" w14:textId="77777777" w:rsidR="003413BB" w:rsidRPr="003413BB" w:rsidRDefault="003413BB" w:rsidP="003413BB">
      <w:pPr>
        <w:spacing w:after="0" w:line="240" w:lineRule="auto"/>
        <w:rPr>
          <w:lang w:val="en"/>
        </w:rPr>
      </w:pPr>
      <w:proofErr w:type="spellStart"/>
      <w:r w:rsidRPr="003413BB">
        <w:rPr>
          <w:lang w:val="en"/>
        </w:rPr>
        <w:t>Ofsted's</w:t>
      </w:r>
      <w:proofErr w:type="spellEnd"/>
      <w:r w:rsidRPr="003413BB">
        <w:rPr>
          <w:lang w:val="en"/>
        </w:rPr>
        <w:t xml:space="preserve"> Chief Inspector, Amanda Spielman, discusses accountability and autonomy and how you cannot have one without the other</w:t>
      </w:r>
    </w:p>
    <w:p w14:paraId="49F6BF7C" w14:textId="77777777" w:rsidR="003413BB" w:rsidRPr="003413BB" w:rsidRDefault="003F3A55" w:rsidP="003413BB">
      <w:pPr>
        <w:spacing w:after="0" w:line="240" w:lineRule="auto"/>
      </w:pPr>
      <w:hyperlink r:id="rId20" w:history="1">
        <w:r w:rsidR="003413BB" w:rsidRPr="003413BB">
          <w:rPr>
            <w:rStyle w:val="Hyperlink"/>
          </w:rPr>
          <w:t>https://www.gov.uk/government/speeches/hmci-commentary-the-roles-of-accountability-and-autonomy</w:t>
        </w:r>
      </w:hyperlink>
    </w:p>
    <w:p w14:paraId="1A1CDAF4" w14:textId="77777777" w:rsidR="007B31C1" w:rsidRDefault="003413BB" w:rsidP="003413BB">
      <w:pPr>
        <w:spacing w:after="0" w:line="240" w:lineRule="auto"/>
      </w:pPr>
      <w:r w:rsidRPr="003413BB">
        <w:rPr>
          <w:b/>
        </w:rPr>
        <w:t>PUBLISHED</w:t>
      </w:r>
      <w:r w:rsidRPr="003413BB">
        <w:t>: 28 August 2019</w:t>
      </w:r>
    </w:p>
    <w:p w14:paraId="6008937D" w14:textId="77777777" w:rsidR="003413BB" w:rsidRDefault="003413BB" w:rsidP="003413BB">
      <w:pPr>
        <w:spacing w:after="0" w:line="240" w:lineRule="auto"/>
      </w:pPr>
    </w:p>
    <w:p w14:paraId="440EFBE0" w14:textId="77777777" w:rsidR="003413BB" w:rsidRDefault="003413BB" w:rsidP="003413BB">
      <w:pPr>
        <w:spacing w:after="0" w:line="240" w:lineRule="auto"/>
      </w:pPr>
    </w:p>
    <w:p w14:paraId="0DE19592" w14:textId="77777777" w:rsidR="003413BB" w:rsidRPr="003413BB" w:rsidRDefault="003413BB" w:rsidP="003413BB">
      <w:pPr>
        <w:spacing w:after="0" w:line="240" w:lineRule="auto"/>
        <w:rPr>
          <w:b/>
          <w:lang w:val="en"/>
        </w:rPr>
      </w:pPr>
      <w:r w:rsidRPr="003413BB">
        <w:rPr>
          <w:b/>
          <w:lang w:val="en"/>
        </w:rPr>
        <w:t xml:space="preserve">HMCI commentary: managing </w:t>
      </w:r>
      <w:proofErr w:type="spellStart"/>
      <w:r w:rsidRPr="003413BB">
        <w:rPr>
          <w:b/>
          <w:lang w:val="en"/>
        </w:rPr>
        <w:t>behaviour</w:t>
      </w:r>
      <w:proofErr w:type="spellEnd"/>
      <w:r w:rsidRPr="003413BB">
        <w:rPr>
          <w:b/>
          <w:lang w:val="en"/>
        </w:rPr>
        <w:t xml:space="preserve"> research</w:t>
      </w:r>
    </w:p>
    <w:p w14:paraId="2233C9AC" w14:textId="77777777" w:rsidR="003413BB" w:rsidRPr="003413BB" w:rsidRDefault="003413BB" w:rsidP="003413BB">
      <w:pPr>
        <w:spacing w:after="0" w:line="240" w:lineRule="auto"/>
        <w:rPr>
          <w:lang w:val="en"/>
        </w:rPr>
      </w:pPr>
      <w:proofErr w:type="spellStart"/>
      <w:r w:rsidRPr="003413BB">
        <w:rPr>
          <w:lang w:val="en"/>
        </w:rPr>
        <w:t>Ofsted's</w:t>
      </w:r>
      <w:proofErr w:type="spellEnd"/>
      <w:r w:rsidRPr="003413BB">
        <w:rPr>
          <w:lang w:val="en"/>
        </w:rPr>
        <w:t xml:space="preserve"> Chief Inspector, Amanda </w:t>
      </w:r>
      <w:proofErr w:type="spellStart"/>
      <w:r w:rsidRPr="003413BB">
        <w:rPr>
          <w:lang w:val="en"/>
        </w:rPr>
        <w:t>Spielman</w:t>
      </w:r>
      <w:proofErr w:type="spellEnd"/>
      <w:r w:rsidRPr="003413BB">
        <w:rPr>
          <w:lang w:val="en"/>
        </w:rPr>
        <w:t xml:space="preserve">, </w:t>
      </w:r>
      <w:proofErr w:type="spellStart"/>
      <w:r w:rsidRPr="003413BB">
        <w:rPr>
          <w:lang w:val="en"/>
        </w:rPr>
        <w:t>summarises</w:t>
      </w:r>
      <w:proofErr w:type="spellEnd"/>
      <w:r w:rsidRPr="003413BB">
        <w:rPr>
          <w:lang w:val="en"/>
        </w:rPr>
        <w:t xml:space="preserve"> our findings so far on managing </w:t>
      </w:r>
      <w:proofErr w:type="spellStart"/>
      <w:r w:rsidRPr="003413BB">
        <w:rPr>
          <w:lang w:val="en"/>
        </w:rPr>
        <w:t>behaviour</w:t>
      </w:r>
      <w:proofErr w:type="spellEnd"/>
      <w:r w:rsidRPr="003413BB">
        <w:rPr>
          <w:lang w:val="en"/>
        </w:rPr>
        <w:t xml:space="preserve"> in schools and our future projects.</w:t>
      </w:r>
    </w:p>
    <w:p w14:paraId="37CC97D6" w14:textId="77777777" w:rsidR="003413BB" w:rsidRPr="003413BB" w:rsidRDefault="003F3A55" w:rsidP="003413BB">
      <w:pPr>
        <w:spacing w:after="0" w:line="240" w:lineRule="auto"/>
      </w:pPr>
      <w:hyperlink r:id="rId21" w:history="1">
        <w:r w:rsidR="003413BB" w:rsidRPr="003413BB">
          <w:rPr>
            <w:rStyle w:val="Hyperlink"/>
          </w:rPr>
          <w:t>https://www.gov.uk/government/speeches/research-commentary-managing-behaviour</w:t>
        </w:r>
      </w:hyperlink>
    </w:p>
    <w:p w14:paraId="3EE9CA1A" w14:textId="77777777" w:rsidR="003413BB" w:rsidRDefault="003413BB" w:rsidP="003413BB">
      <w:pPr>
        <w:spacing w:after="0" w:line="240" w:lineRule="auto"/>
      </w:pPr>
      <w:r w:rsidRPr="003413BB">
        <w:rPr>
          <w:b/>
        </w:rPr>
        <w:t>PUBLISHED</w:t>
      </w:r>
      <w:r w:rsidRPr="003413BB">
        <w:t>: 12 September 2019</w:t>
      </w:r>
    </w:p>
    <w:p w14:paraId="29FB2DB9" w14:textId="77777777" w:rsidR="003413BB" w:rsidRDefault="003413BB" w:rsidP="003413BB">
      <w:pPr>
        <w:spacing w:after="0" w:line="240" w:lineRule="auto"/>
      </w:pPr>
    </w:p>
    <w:p w14:paraId="2415E9BA" w14:textId="77777777" w:rsidR="003413BB" w:rsidRDefault="003413BB" w:rsidP="003413BB">
      <w:pPr>
        <w:spacing w:after="0" w:line="240" w:lineRule="auto"/>
      </w:pPr>
    </w:p>
    <w:p w14:paraId="77B43E0A" w14:textId="77777777" w:rsidR="003413BB" w:rsidRPr="003413BB" w:rsidRDefault="003413BB" w:rsidP="003413BB">
      <w:pPr>
        <w:spacing w:after="0" w:line="240" w:lineRule="auto"/>
        <w:rPr>
          <w:b/>
        </w:rPr>
      </w:pPr>
      <w:r w:rsidRPr="003413BB">
        <w:rPr>
          <w:b/>
        </w:rPr>
        <w:t>HMCI commentary: the initial teacher education curriculum</w:t>
      </w:r>
    </w:p>
    <w:p w14:paraId="58BCEBAF" w14:textId="77777777" w:rsidR="003413BB" w:rsidRPr="003413BB" w:rsidRDefault="003413BB" w:rsidP="003413BB">
      <w:pPr>
        <w:spacing w:after="0" w:line="240" w:lineRule="auto"/>
      </w:pPr>
      <w:r w:rsidRPr="003413BB">
        <w:t xml:space="preserve">Ofsted's Chief Inspector, Amanda Spielman, discusses upcoming changes to how we inspect initial teacher education (ITE) partnerships. </w:t>
      </w:r>
    </w:p>
    <w:p w14:paraId="62AA81B2" w14:textId="77777777" w:rsidR="003413BB" w:rsidRPr="003413BB" w:rsidRDefault="003F3A55" w:rsidP="003413BB">
      <w:pPr>
        <w:spacing w:after="0" w:line="240" w:lineRule="auto"/>
      </w:pPr>
      <w:hyperlink r:id="rId22" w:history="1">
        <w:r w:rsidR="003413BB" w:rsidRPr="003413BB">
          <w:rPr>
            <w:rStyle w:val="Hyperlink"/>
          </w:rPr>
          <w:t>https://www.gov.uk/government/speeches/hmci-commentary-the-initial-teacher-education-curriculum</w:t>
        </w:r>
      </w:hyperlink>
    </w:p>
    <w:p w14:paraId="423E83CC" w14:textId="77777777" w:rsidR="003413BB" w:rsidRDefault="003413BB" w:rsidP="003413BB">
      <w:pPr>
        <w:spacing w:after="0" w:line="240" w:lineRule="auto"/>
      </w:pPr>
      <w:r w:rsidRPr="003413BB">
        <w:rPr>
          <w:b/>
        </w:rPr>
        <w:t>PUBLISHED</w:t>
      </w:r>
      <w:r w:rsidRPr="003413BB">
        <w:t>: 16 October 2019</w:t>
      </w:r>
    </w:p>
    <w:p w14:paraId="735305CB" w14:textId="77777777" w:rsidR="003413BB" w:rsidRDefault="003413BB" w:rsidP="003413BB">
      <w:pPr>
        <w:spacing w:after="0" w:line="240" w:lineRule="auto"/>
      </w:pPr>
    </w:p>
    <w:p w14:paraId="53123109" w14:textId="77777777" w:rsidR="003413BB" w:rsidRPr="003413BB" w:rsidRDefault="003413BB" w:rsidP="003413BB">
      <w:pPr>
        <w:spacing w:after="0" w:line="240" w:lineRule="auto"/>
      </w:pPr>
    </w:p>
    <w:p w14:paraId="7BEFFC82" w14:textId="77777777" w:rsidR="007B31C1" w:rsidRPr="003413BB" w:rsidRDefault="007B31C1" w:rsidP="007B31C1">
      <w:pPr>
        <w:spacing w:after="0" w:line="240" w:lineRule="auto"/>
      </w:pPr>
    </w:p>
    <w:sectPr w:rsidR="007B31C1" w:rsidRPr="003413BB" w:rsidSect="00840F4D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05A"/>
    <w:multiLevelType w:val="hybridMultilevel"/>
    <w:tmpl w:val="5A18E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1B44"/>
    <w:multiLevelType w:val="multilevel"/>
    <w:tmpl w:val="4BA6B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0E7C"/>
    <w:multiLevelType w:val="multilevel"/>
    <w:tmpl w:val="D43E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078B3"/>
    <w:multiLevelType w:val="hybridMultilevel"/>
    <w:tmpl w:val="944A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501"/>
    <w:multiLevelType w:val="multilevel"/>
    <w:tmpl w:val="A0F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C1"/>
    <w:rsid w:val="000C1763"/>
    <w:rsid w:val="000E28F3"/>
    <w:rsid w:val="00146EB8"/>
    <w:rsid w:val="001B574A"/>
    <w:rsid w:val="002156BF"/>
    <w:rsid w:val="00220A66"/>
    <w:rsid w:val="002E78D8"/>
    <w:rsid w:val="003037E0"/>
    <w:rsid w:val="003413BB"/>
    <w:rsid w:val="003A3D0E"/>
    <w:rsid w:val="003C39BA"/>
    <w:rsid w:val="003F3A55"/>
    <w:rsid w:val="00483EAE"/>
    <w:rsid w:val="00536285"/>
    <w:rsid w:val="005B7B93"/>
    <w:rsid w:val="00677691"/>
    <w:rsid w:val="007B31C1"/>
    <w:rsid w:val="00840F4D"/>
    <w:rsid w:val="0085171C"/>
    <w:rsid w:val="00A9326A"/>
    <w:rsid w:val="00A95A1B"/>
    <w:rsid w:val="00AE32AD"/>
    <w:rsid w:val="00B85A09"/>
    <w:rsid w:val="00BB7235"/>
    <w:rsid w:val="00BF1196"/>
    <w:rsid w:val="00C52C63"/>
    <w:rsid w:val="00C95E97"/>
    <w:rsid w:val="00CF7ADD"/>
    <w:rsid w:val="00D9581D"/>
    <w:rsid w:val="00F01356"/>
    <w:rsid w:val="00F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7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1C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B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13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1C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B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13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-workload-advisory-group-report-and-government-response" TargetMode="External"/><Relationship Id="rId13" Type="http://schemas.openxmlformats.org/officeDocument/2006/relationships/hyperlink" Target="https://www.gov.uk/government/publications/progress-8-school-performance-measure" TargetMode="External"/><Relationship Id="rId18" Type="http://schemas.openxmlformats.org/officeDocument/2006/relationships/hyperlink" Target="https://www.gov.uk/government/news/major-review-into-support-for-children-with-special-educational-nee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speeches/research-commentary-managing-behaviour" TargetMode="External"/><Relationship Id="rId7" Type="http://schemas.openxmlformats.org/officeDocument/2006/relationships/hyperlink" Target="https://www.gov.uk/government/publications/school-sport-and-activity-action-plan" TargetMode="External"/><Relationship Id="rId12" Type="http://schemas.openxmlformats.org/officeDocument/2006/relationships/hyperlink" Target="https://www.gov.uk/guidance/school-workforce-census" TargetMode="External"/><Relationship Id="rId17" Type="http://schemas.openxmlformats.org/officeDocument/2006/relationships/hyperlink" Target="https://www.gov.uk/government/news/new-drive-to-continue-boosting-standards-in-sch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chools-financial-value-standard-sfvs" TargetMode="External"/><Relationship Id="rId20" Type="http://schemas.openxmlformats.org/officeDocument/2006/relationships/hyperlink" Target="https://www.gov.uk/government/speeches/hmci-commentary-the-roles-of-accountability-and-autonom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t-level-transition-programme-framework-for-delivery-2020-to-202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v.uk/guidance/pupil-premium-effective-use-and-accountabil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introduction-of-t-levels" TargetMode="External"/><Relationship Id="rId19" Type="http://schemas.openxmlformats.org/officeDocument/2006/relationships/hyperlink" Target="https://www.gov.uk/government/news/relationships-education-relationships-and-sex-education-rse-and-health-education-faq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publications/reducing-teachers-workload" TargetMode="External"/><Relationship Id="rId14" Type="http://schemas.openxmlformats.org/officeDocument/2006/relationships/hyperlink" Target="https://www.gov.uk/government/publications/school-food-standards-resources-for-schools" TargetMode="External"/><Relationship Id="rId22" Type="http://schemas.openxmlformats.org/officeDocument/2006/relationships/hyperlink" Target="https://www.gov.uk/government/speeches/hmci-commentary-the-initial-teacher-education-curriculum?utm_source=672b9d88-8c27-4a21-aa25-00ad69b021df&amp;utm_medium=email&amp;utm_campaign=govuk-notifications&amp;utm_content=da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A013-22A0-4CB3-A919-320565A2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Inglis</dc:creator>
  <cp:lastModifiedBy>Caroline Inglis</cp:lastModifiedBy>
  <cp:revision>2</cp:revision>
  <dcterms:created xsi:type="dcterms:W3CDTF">2019-11-21T23:17:00Z</dcterms:created>
  <dcterms:modified xsi:type="dcterms:W3CDTF">2019-11-21T23:17:00Z</dcterms:modified>
</cp:coreProperties>
</file>