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78" w:rsidRPr="00722676" w:rsidRDefault="00241371" w:rsidP="00241371">
      <w:pPr>
        <w:jc w:val="center"/>
        <w:rPr>
          <w:b/>
        </w:rPr>
      </w:pPr>
      <w:r w:rsidRPr="00722676">
        <w:rPr>
          <w:b/>
        </w:rPr>
        <w:t>Wellbeing Support Services</w:t>
      </w:r>
    </w:p>
    <w:p w:rsidR="00241371" w:rsidRPr="00722676" w:rsidRDefault="00B06008" w:rsidP="00241371">
      <w:pPr>
        <w:jc w:val="center"/>
        <w:rPr>
          <w:b/>
        </w:rPr>
      </w:pPr>
      <w:r>
        <w:rPr>
          <w:b/>
        </w:rPr>
        <w:t>Making an advance b</w:t>
      </w:r>
      <w:r w:rsidR="00241371" w:rsidRPr="00722676">
        <w:rPr>
          <w:b/>
        </w:rPr>
        <w:t xml:space="preserve">ooking </w:t>
      </w:r>
    </w:p>
    <w:p w:rsidR="00241371" w:rsidRPr="00722676" w:rsidRDefault="00241371" w:rsidP="00241371">
      <w:pPr>
        <w:jc w:val="center"/>
      </w:pPr>
      <w:r w:rsidRPr="00722676">
        <w:t xml:space="preserve">Wellbeing advisers can deliver a range of support services to facilitate school improvement and increase positive outcomes for children and young people. We can also help you to ensure your school has met wellbeing related statutory duties. By booking in advance </w:t>
      </w:r>
      <w:r w:rsidR="007475B6">
        <w:t xml:space="preserve">and committing to 2 days support </w:t>
      </w:r>
      <w:r w:rsidRPr="00722676">
        <w:t>for the year you make a saving in the services you access across the year.</w:t>
      </w:r>
      <w:r w:rsidR="007475B6">
        <w:t xml:space="preserve"> </w:t>
      </w:r>
      <w:bookmarkStart w:id="0" w:name="_GoBack"/>
      <w:bookmarkEnd w:id="0"/>
    </w:p>
    <w:tbl>
      <w:tblPr>
        <w:tblStyle w:val="TableGrid"/>
        <w:tblW w:w="0" w:type="auto"/>
        <w:tblInd w:w="716" w:type="dxa"/>
        <w:tblLook w:val="04A0" w:firstRow="1" w:lastRow="0" w:firstColumn="1" w:lastColumn="0" w:noHBand="0" w:noVBand="1"/>
      </w:tblPr>
      <w:tblGrid>
        <w:gridCol w:w="4248"/>
        <w:gridCol w:w="709"/>
        <w:gridCol w:w="2976"/>
        <w:gridCol w:w="1083"/>
      </w:tblGrid>
      <w:tr w:rsidR="004D2176" w:rsidRPr="00722676" w:rsidTr="00B06008">
        <w:tc>
          <w:tcPr>
            <w:tcW w:w="4248" w:type="dxa"/>
          </w:tcPr>
          <w:p w:rsidR="004D2176" w:rsidRPr="00722676" w:rsidRDefault="004D2176" w:rsidP="00241371">
            <w:pPr>
              <w:jc w:val="center"/>
              <w:rPr>
                <w:b/>
              </w:rPr>
            </w:pPr>
            <w:r w:rsidRPr="00722676">
              <w:rPr>
                <w:b/>
              </w:rPr>
              <w:t>Focus areas*</w:t>
            </w:r>
          </w:p>
          <w:p w:rsidR="004D2176" w:rsidRPr="00722676" w:rsidRDefault="004D2176" w:rsidP="00241371">
            <w:pPr>
              <w:jc w:val="center"/>
            </w:pPr>
            <w:r w:rsidRPr="00722676">
              <w:t>See RAG rating tool below</w:t>
            </w:r>
          </w:p>
          <w:p w:rsidR="004D2176" w:rsidRPr="00722676" w:rsidRDefault="004D2176" w:rsidP="00241371">
            <w:pPr>
              <w:jc w:val="center"/>
            </w:pPr>
          </w:p>
        </w:tc>
        <w:tc>
          <w:tcPr>
            <w:tcW w:w="709" w:type="dxa"/>
            <w:tcBorders>
              <w:top w:val="nil"/>
              <w:bottom w:val="nil"/>
            </w:tcBorders>
          </w:tcPr>
          <w:p w:rsidR="004D2176" w:rsidRPr="00722676" w:rsidRDefault="004D2176" w:rsidP="00241371">
            <w:pPr>
              <w:jc w:val="center"/>
            </w:pPr>
          </w:p>
        </w:tc>
        <w:tc>
          <w:tcPr>
            <w:tcW w:w="4059" w:type="dxa"/>
            <w:gridSpan w:val="2"/>
          </w:tcPr>
          <w:p w:rsidR="004D2176" w:rsidRPr="00722676" w:rsidRDefault="004D2176" w:rsidP="00241371">
            <w:pPr>
              <w:jc w:val="center"/>
              <w:rPr>
                <w:b/>
              </w:rPr>
            </w:pPr>
            <w:r w:rsidRPr="00722676">
              <w:rPr>
                <w:b/>
              </w:rPr>
              <w:t>Services available</w:t>
            </w:r>
          </w:p>
          <w:p w:rsidR="00DB0C99" w:rsidRPr="00722676" w:rsidRDefault="00DB0C99" w:rsidP="00DB0C99">
            <w:pPr>
              <w:rPr>
                <w:b/>
              </w:rPr>
            </w:pPr>
            <w:r w:rsidRPr="00722676">
              <w:t>Activity</w:t>
            </w:r>
            <w:r w:rsidRPr="00722676">
              <w:tab/>
            </w:r>
            <w:r w:rsidRPr="00722676">
              <w:tab/>
            </w:r>
            <w:r w:rsidRPr="00722676">
              <w:tab/>
              <w:t xml:space="preserve">       Cost in days</w:t>
            </w:r>
          </w:p>
        </w:tc>
      </w:tr>
      <w:tr w:rsidR="004D2176" w:rsidRPr="00722676" w:rsidTr="00B06008">
        <w:tc>
          <w:tcPr>
            <w:tcW w:w="4248" w:type="dxa"/>
          </w:tcPr>
          <w:p w:rsidR="004D2176" w:rsidRPr="00722676" w:rsidRDefault="004D2176" w:rsidP="00241371">
            <w:pPr>
              <w:jc w:val="center"/>
            </w:pPr>
            <w:r w:rsidRPr="00722676">
              <w:t>Behaviour for Learning</w:t>
            </w:r>
          </w:p>
        </w:tc>
        <w:tc>
          <w:tcPr>
            <w:tcW w:w="709" w:type="dxa"/>
            <w:tcBorders>
              <w:top w:val="nil"/>
              <w:bottom w:val="nil"/>
            </w:tcBorders>
          </w:tcPr>
          <w:p w:rsidR="004D2176" w:rsidRPr="00722676" w:rsidRDefault="004D2176" w:rsidP="00241371">
            <w:pPr>
              <w:jc w:val="center"/>
            </w:pPr>
          </w:p>
        </w:tc>
        <w:tc>
          <w:tcPr>
            <w:tcW w:w="2976" w:type="dxa"/>
          </w:tcPr>
          <w:p w:rsidR="004D2176" w:rsidRPr="00722676" w:rsidRDefault="004D2176" w:rsidP="00241371">
            <w:pPr>
              <w:jc w:val="center"/>
            </w:pPr>
          </w:p>
        </w:tc>
        <w:tc>
          <w:tcPr>
            <w:tcW w:w="1083" w:type="dxa"/>
          </w:tcPr>
          <w:p w:rsidR="004D2176" w:rsidRPr="00722676" w:rsidRDefault="004D2176" w:rsidP="00241371">
            <w:pPr>
              <w:jc w:val="center"/>
            </w:pPr>
          </w:p>
        </w:tc>
      </w:tr>
      <w:tr w:rsidR="004D2176" w:rsidRPr="00722676" w:rsidTr="00B06008">
        <w:tc>
          <w:tcPr>
            <w:tcW w:w="4248" w:type="dxa"/>
          </w:tcPr>
          <w:p w:rsidR="004D2176" w:rsidRPr="00722676" w:rsidRDefault="004D2176" w:rsidP="00241371">
            <w:pPr>
              <w:jc w:val="center"/>
            </w:pPr>
            <w:r w:rsidRPr="00722676">
              <w:t>Anti-bullying and anti-prejudice</w:t>
            </w:r>
          </w:p>
        </w:tc>
        <w:tc>
          <w:tcPr>
            <w:tcW w:w="709" w:type="dxa"/>
            <w:tcBorders>
              <w:top w:val="nil"/>
              <w:bottom w:val="nil"/>
            </w:tcBorders>
          </w:tcPr>
          <w:p w:rsidR="004D2176" w:rsidRPr="00722676" w:rsidRDefault="004D2176" w:rsidP="00241371">
            <w:pPr>
              <w:jc w:val="center"/>
            </w:pPr>
          </w:p>
        </w:tc>
        <w:tc>
          <w:tcPr>
            <w:tcW w:w="2976" w:type="dxa"/>
          </w:tcPr>
          <w:p w:rsidR="004D2176" w:rsidRPr="00722676" w:rsidRDefault="00DB0C99" w:rsidP="00241371">
            <w:pPr>
              <w:jc w:val="center"/>
            </w:pPr>
            <w:r w:rsidRPr="00722676">
              <w:t>Baselining consultation</w:t>
            </w:r>
          </w:p>
        </w:tc>
        <w:tc>
          <w:tcPr>
            <w:tcW w:w="1083" w:type="dxa"/>
          </w:tcPr>
          <w:p w:rsidR="004D2176" w:rsidRPr="00722676" w:rsidRDefault="00DB0C99" w:rsidP="00241371">
            <w:pPr>
              <w:jc w:val="center"/>
            </w:pPr>
            <w:r w:rsidRPr="00722676">
              <w:t>0.5</w:t>
            </w:r>
          </w:p>
        </w:tc>
      </w:tr>
      <w:tr w:rsidR="00DB0C99" w:rsidRPr="00722676" w:rsidTr="00B06008">
        <w:tc>
          <w:tcPr>
            <w:tcW w:w="4248" w:type="dxa"/>
          </w:tcPr>
          <w:p w:rsidR="00DB0C99" w:rsidRPr="00722676" w:rsidRDefault="00DB0C99" w:rsidP="00DB0C99">
            <w:pPr>
              <w:jc w:val="center"/>
            </w:pPr>
            <w:r w:rsidRPr="00722676">
              <w:t xml:space="preserve">Emotional and mental wellbeing </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 xml:space="preserve">Wellbeing Quality Mark </w:t>
            </w:r>
          </w:p>
        </w:tc>
        <w:tc>
          <w:tcPr>
            <w:tcW w:w="1083" w:type="dxa"/>
          </w:tcPr>
          <w:p w:rsidR="00DB0C99" w:rsidRPr="00722676" w:rsidRDefault="00DB0C99" w:rsidP="00DB0C99">
            <w:pPr>
              <w:jc w:val="center"/>
            </w:pPr>
            <w:r w:rsidRPr="00722676">
              <w:t>1.5</w:t>
            </w:r>
          </w:p>
        </w:tc>
      </w:tr>
      <w:tr w:rsidR="00DB0C99" w:rsidRPr="00722676" w:rsidTr="00B06008">
        <w:tc>
          <w:tcPr>
            <w:tcW w:w="4248" w:type="dxa"/>
          </w:tcPr>
          <w:p w:rsidR="00DB0C99" w:rsidRPr="00722676" w:rsidRDefault="00DB0C99" w:rsidP="00DB0C99">
            <w:pPr>
              <w:jc w:val="center"/>
            </w:pPr>
            <w:r w:rsidRPr="00722676">
              <w:t>Online safety</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Whole school review with feedback</w:t>
            </w:r>
          </w:p>
        </w:tc>
        <w:tc>
          <w:tcPr>
            <w:tcW w:w="1083" w:type="dxa"/>
          </w:tcPr>
          <w:p w:rsidR="00DB0C99" w:rsidRPr="00722676" w:rsidRDefault="00DB0C99" w:rsidP="00DB0C99">
            <w:pPr>
              <w:jc w:val="center"/>
            </w:pPr>
            <w:r w:rsidRPr="00722676">
              <w:t>1.0</w:t>
            </w:r>
          </w:p>
        </w:tc>
      </w:tr>
      <w:tr w:rsidR="00DB0C99" w:rsidRPr="00722676" w:rsidTr="00B06008">
        <w:tc>
          <w:tcPr>
            <w:tcW w:w="4248" w:type="dxa"/>
          </w:tcPr>
          <w:p w:rsidR="00DB0C99" w:rsidRPr="00722676" w:rsidRDefault="00DB0C99" w:rsidP="00DB0C99">
            <w:pPr>
              <w:jc w:val="center"/>
            </w:pPr>
            <w:r w:rsidRPr="00722676">
              <w:t>Relationship (and sex) education, health education and PSHE</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Whole school review with detailed report</w:t>
            </w:r>
          </w:p>
        </w:tc>
        <w:tc>
          <w:tcPr>
            <w:tcW w:w="1083" w:type="dxa"/>
          </w:tcPr>
          <w:p w:rsidR="00DB0C99" w:rsidRPr="00722676" w:rsidRDefault="00DB0C99" w:rsidP="00DB0C99">
            <w:pPr>
              <w:jc w:val="center"/>
            </w:pPr>
            <w:r w:rsidRPr="00722676">
              <w:t>1.5</w:t>
            </w:r>
          </w:p>
        </w:tc>
      </w:tr>
      <w:tr w:rsidR="00DB0C99" w:rsidRPr="00722676" w:rsidTr="00B06008">
        <w:tc>
          <w:tcPr>
            <w:tcW w:w="4248" w:type="dxa"/>
          </w:tcPr>
          <w:p w:rsidR="00DB0C99" w:rsidRPr="00722676" w:rsidRDefault="00DB0C99" w:rsidP="00DB0C99">
            <w:pPr>
              <w:jc w:val="center"/>
            </w:pPr>
            <w:r w:rsidRPr="00722676">
              <w:t>English as an additional language</w:t>
            </w:r>
            <w:r w:rsidR="00AF761D">
              <w:t xml:space="preserve"> (EAL)</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Policy and practice consultancy</w:t>
            </w:r>
          </w:p>
        </w:tc>
        <w:tc>
          <w:tcPr>
            <w:tcW w:w="1083" w:type="dxa"/>
          </w:tcPr>
          <w:p w:rsidR="00DB0C99" w:rsidRPr="00722676" w:rsidRDefault="00DB0C99" w:rsidP="00DB0C99">
            <w:pPr>
              <w:jc w:val="center"/>
            </w:pPr>
            <w:r w:rsidRPr="00722676">
              <w:t>0.5</w:t>
            </w:r>
          </w:p>
        </w:tc>
      </w:tr>
      <w:tr w:rsidR="00DB0C99" w:rsidRPr="00722676" w:rsidTr="00B06008">
        <w:tc>
          <w:tcPr>
            <w:tcW w:w="4248" w:type="dxa"/>
          </w:tcPr>
          <w:p w:rsidR="00DB0C99" w:rsidRPr="00722676" w:rsidRDefault="00DB0C99" w:rsidP="00DB0C99">
            <w:pPr>
              <w:jc w:val="center"/>
            </w:pPr>
            <w:r w:rsidRPr="00722676">
              <w:t>Equalities</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Bespoke consultancy</w:t>
            </w:r>
          </w:p>
        </w:tc>
        <w:tc>
          <w:tcPr>
            <w:tcW w:w="1083" w:type="dxa"/>
          </w:tcPr>
          <w:p w:rsidR="00DB0C99" w:rsidRPr="00722676" w:rsidRDefault="00DB0C99" w:rsidP="00DB0C99">
            <w:pPr>
              <w:jc w:val="center"/>
            </w:pPr>
            <w:r w:rsidRPr="00722676">
              <w:t>0.5-1.0</w:t>
            </w:r>
          </w:p>
        </w:tc>
      </w:tr>
      <w:tr w:rsidR="00DB0C99" w:rsidRPr="00722676" w:rsidTr="00B06008">
        <w:tc>
          <w:tcPr>
            <w:tcW w:w="4248" w:type="dxa"/>
          </w:tcPr>
          <w:p w:rsidR="00DB0C99" w:rsidRPr="00722676" w:rsidRDefault="00DB0C99" w:rsidP="00DB0C99">
            <w:pPr>
              <w:jc w:val="center"/>
            </w:pPr>
            <w:r w:rsidRPr="00722676">
              <w:t>Parental engagement</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Staff/governor training/s</w:t>
            </w:r>
          </w:p>
        </w:tc>
        <w:tc>
          <w:tcPr>
            <w:tcW w:w="1083" w:type="dxa"/>
          </w:tcPr>
          <w:p w:rsidR="00DB0C99" w:rsidRPr="00722676" w:rsidRDefault="00DB0C99" w:rsidP="00DB0C99">
            <w:pPr>
              <w:jc w:val="center"/>
            </w:pPr>
            <w:r w:rsidRPr="00722676">
              <w:t>0.5</w:t>
            </w:r>
          </w:p>
        </w:tc>
      </w:tr>
      <w:tr w:rsidR="00DB0C99" w:rsidRPr="00722676" w:rsidTr="00B06008">
        <w:tc>
          <w:tcPr>
            <w:tcW w:w="4248" w:type="dxa"/>
          </w:tcPr>
          <w:p w:rsidR="00DB0C99" w:rsidRPr="00722676" w:rsidRDefault="00DB0C99" w:rsidP="00DB0C99">
            <w:pPr>
              <w:jc w:val="center"/>
            </w:pPr>
            <w:r w:rsidRPr="00722676">
              <w:t>Pupil voice, engagement and agency</w:t>
            </w: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r w:rsidRPr="00722676">
              <w:t>Parent training session/s</w:t>
            </w:r>
          </w:p>
        </w:tc>
        <w:tc>
          <w:tcPr>
            <w:tcW w:w="1083" w:type="dxa"/>
          </w:tcPr>
          <w:p w:rsidR="00DB0C99" w:rsidRPr="00722676" w:rsidRDefault="00DB0C99" w:rsidP="00DB0C99">
            <w:pPr>
              <w:jc w:val="center"/>
            </w:pPr>
            <w:r w:rsidRPr="00722676">
              <w:t>0.5</w:t>
            </w:r>
          </w:p>
        </w:tc>
      </w:tr>
      <w:tr w:rsidR="00DB0C99" w:rsidRPr="00722676" w:rsidTr="00B06008">
        <w:tc>
          <w:tcPr>
            <w:tcW w:w="4248" w:type="dxa"/>
          </w:tcPr>
          <w:p w:rsidR="00DB0C99" w:rsidRPr="00722676" w:rsidRDefault="00DB0C99" w:rsidP="00DB0C99">
            <w:pPr>
              <w:jc w:val="center"/>
            </w:pPr>
          </w:p>
        </w:tc>
        <w:tc>
          <w:tcPr>
            <w:tcW w:w="709" w:type="dxa"/>
            <w:tcBorders>
              <w:top w:val="nil"/>
              <w:bottom w:val="nil"/>
            </w:tcBorders>
          </w:tcPr>
          <w:p w:rsidR="00DB0C99" w:rsidRPr="00722676" w:rsidRDefault="00DB0C99" w:rsidP="00DB0C99">
            <w:pPr>
              <w:jc w:val="center"/>
            </w:pPr>
          </w:p>
        </w:tc>
        <w:tc>
          <w:tcPr>
            <w:tcW w:w="2976" w:type="dxa"/>
          </w:tcPr>
          <w:p w:rsidR="00DB0C99" w:rsidRPr="00722676" w:rsidRDefault="00DB0C99" w:rsidP="00DB0C99">
            <w:pPr>
              <w:jc w:val="center"/>
            </w:pPr>
          </w:p>
        </w:tc>
        <w:tc>
          <w:tcPr>
            <w:tcW w:w="1083" w:type="dxa"/>
          </w:tcPr>
          <w:p w:rsidR="00DB0C99" w:rsidRPr="00722676" w:rsidRDefault="00DB0C99" w:rsidP="00DB0C99">
            <w:pPr>
              <w:jc w:val="center"/>
            </w:pPr>
          </w:p>
        </w:tc>
      </w:tr>
    </w:tbl>
    <w:p w:rsidR="004D2176" w:rsidRPr="00722676" w:rsidRDefault="004D2176" w:rsidP="00241371">
      <w:pPr>
        <w:jc w:val="center"/>
      </w:pPr>
    </w:p>
    <w:p w:rsidR="00DB0C99" w:rsidRPr="00722676" w:rsidRDefault="00DB0C99" w:rsidP="00241371">
      <w:pPr>
        <w:jc w:val="center"/>
        <w:rPr>
          <w:b/>
        </w:rPr>
      </w:pPr>
      <w:r w:rsidRPr="00722676">
        <w:rPr>
          <w:b/>
        </w:rPr>
        <w:t>Self-review of school support needs for behaviour, welfare and wellbeing</w:t>
      </w:r>
    </w:p>
    <w:p w:rsidR="00DB0C99" w:rsidRDefault="00DB0C99" w:rsidP="00241371">
      <w:pPr>
        <w:jc w:val="center"/>
      </w:pPr>
      <w:r w:rsidRPr="00722676">
        <w:lastRenderedPageBreak/>
        <w:t>Use this rating tool to help you identify your school’s strengths and areas for development. Create your own RAG ‘tartan rug’ that visually flags where you might target wellbeing adviser support.</w:t>
      </w:r>
    </w:p>
    <w:tbl>
      <w:tblPr>
        <w:tblStyle w:val="TableGrid"/>
        <w:tblW w:w="10343" w:type="dxa"/>
        <w:tblLayout w:type="fixed"/>
        <w:tblLook w:val="04A0" w:firstRow="1" w:lastRow="0" w:firstColumn="1" w:lastColumn="0" w:noHBand="0" w:noVBand="1"/>
      </w:tblPr>
      <w:tblGrid>
        <w:gridCol w:w="1271"/>
        <w:gridCol w:w="1204"/>
        <w:gridCol w:w="1206"/>
        <w:gridCol w:w="1134"/>
        <w:gridCol w:w="992"/>
        <w:gridCol w:w="1134"/>
        <w:gridCol w:w="1134"/>
        <w:gridCol w:w="1134"/>
        <w:gridCol w:w="1134"/>
      </w:tblGrid>
      <w:tr w:rsidR="00722676" w:rsidTr="00B06008">
        <w:tc>
          <w:tcPr>
            <w:tcW w:w="1271" w:type="dxa"/>
          </w:tcPr>
          <w:p w:rsidR="00722676" w:rsidRDefault="00722676" w:rsidP="00241371">
            <w:pPr>
              <w:jc w:val="center"/>
            </w:pPr>
          </w:p>
        </w:tc>
        <w:tc>
          <w:tcPr>
            <w:tcW w:w="1204" w:type="dxa"/>
          </w:tcPr>
          <w:p w:rsidR="00722676" w:rsidRPr="00722676" w:rsidRDefault="00722676" w:rsidP="00241371">
            <w:pPr>
              <w:jc w:val="center"/>
              <w:rPr>
                <w:sz w:val="16"/>
                <w:szCs w:val="16"/>
              </w:rPr>
            </w:pPr>
            <w:r w:rsidRPr="00722676">
              <w:rPr>
                <w:sz w:val="16"/>
                <w:szCs w:val="16"/>
              </w:rPr>
              <w:t>Leadership, management, monitoring and confidence</w:t>
            </w:r>
          </w:p>
        </w:tc>
        <w:tc>
          <w:tcPr>
            <w:tcW w:w="1206" w:type="dxa"/>
          </w:tcPr>
          <w:p w:rsidR="00722676" w:rsidRPr="00722676" w:rsidRDefault="00722676" w:rsidP="00241371">
            <w:pPr>
              <w:jc w:val="center"/>
              <w:rPr>
                <w:sz w:val="16"/>
                <w:szCs w:val="16"/>
              </w:rPr>
            </w:pPr>
            <w:r w:rsidRPr="00722676">
              <w:rPr>
                <w:sz w:val="16"/>
                <w:szCs w:val="16"/>
              </w:rPr>
              <w:t>Staff knowledge, confidence and consistency</w:t>
            </w:r>
          </w:p>
        </w:tc>
        <w:tc>
          <w:tcPr>
            <w:tcW w:w="1134" w:type="dxa"/>
          </w:tcPr>
          <w:p w:rsidR="00722676" w:rsidRPr="00722676" w:rsidRDefault="00722676" w:rsidP="00241371">
            <w:pPr>
              <w:jc w:val="center"/>
              <w:rPr>
                <w:sz w:val="16"/>
                <w:szCs w:val="16"/>
              </w:rPr>
            </w:pPr>
            <w:r w:rsidRPr="00722676">
              <w:rPr>
                <w:sz w:val="16"/>
                <w:szCs w:val="16"/>
              </w:rPr>
              <w:t>Quality of policy and processes</w:t>
            </w:r>
          </w:p>
        </w:tc>
        <w:tc>
          <w:tcPr>
            <w:tcW w:w="992" w:type="dxa"/>
          </w:tcPr>
          <w:p w:rsidR="00722676" w:rsidRPr="00722676" w:rsidRDefault="00722676" w:rsidP="00241371">
            <w:pPr>
              <w:jc w:val="center"/>
              <w:rPr>
                <w:sz w:val="16"/>
                <w:szCs w:val="16"/>
              </w:rPr>
            </w:pPr>
            <w:r w:rsidRPr="00722676">
              <w:rPr>
                <w:sz w:val="16"/>
                <w:szCs w:val="16"/>
              </w:rPr>
              <w:t>High quality related curriculum</w:t>
            </w:r>
          </w:p>
        </w:tc>
        <w:tc>
          <w:tcPr>
            <w:tcW w:w="1134" w:type="dxa"/>
          </w:tcPr>
          <w:p w:rsidR="00722676" w:rsidRPr="00722676" w:rsidRDefault="00722676" w:rsidP="00241371">
            <w:pPr>
              <w:jc w:val="center"/>
              <w:rPr>
                <w:sz w:val="16"/>
                <w:szCs w:val="16"/>
              </w:rPr>
            </w:pPr>
            <w:r w:rsidRPr="00722676">
              <w:rPr>
                <w:sz w:val="16"/>
                <w:szCs w:val="16"/>
              </w:rPr>
              <w:t>Evidence of strong outcomes and impact</w:t>
            </w:r>
          </w:p>
        </w:tc>
        <w:tc>
          <w:tcPr>
            <w:tcW w:w="1134" w:type="dxa"/>
          </w:tcPr>
          <w:p w:rsidR="00722676" w:rsidRPr="00722676" w:rsidRDefault="00722676" w:rsidP="00241371">
            <w:pPr>
              <w:jc w:val="center"/>
              <w:rPr>
                <w:sz w:val="16"/>
                <w:szCs w:val="16"/>
              </w:rPr>
            </w:pPr>
            <w:r w:rsidRPr="00722676">
              <w:rPr>
                <w:sz w:val="16"/>
                <w:szCs w:val="16"/>
              </w:rPr>
              <w:t>Parental engagement</w:t>
            </w:r>
          </w:p>
        </w:tc>
        <w:tc>
          <w:tcPr>
            <w:tcW w:w="1134" w:type="dxa"/>
          </w:tcPr>
          <w:p w:rsidR="00722676" w:rsidRPr="00722676" w:rsidRDefault="00722676" w:rsidP="00241371">
            <w:pPr>
              <w:jc w:val="center"/>
              <w:rPr>
                <w:sz w:val="16"/>
                <w:szCs w:val="16"/>
              </w:rPr>
            </w:pPr>
            <w:r w:rsidRPr="00722676">
              <w:rPr>
                <w:sz w:val="16"/>
                <w:szCs w:val="16"/>
              </w:rPr>
              <w:t>Pupil engagement</w:t>
            </w:r>
          </w:p>
        </w:tc>
        <w:tc>
          <w:tcPr>
            <w:tcW w:w="1134" w:type="dxa"/>
          </w:tcPr>
          <w:p w:rsidR="00722676" w:rsidRPr="00722676" w:rsidRDefault="00C80766" w:rsidP="00241371">
            <w:pPr>
              <w:jc w:val="center"/>
              <w:rPr>
                <w:sz w:val="16"/>
                <w:szCs w:val="16"/>
              </w:rPr>
            </w:pPr>
            <w:r>
              <w:rPr>
                <w:sz w:val="16"/>
                <w:szCs w:val="16"/>
              </w:rPr>
              <w:t>Overall rating</w:t>
            </w:r>
          </w:p>
        </w:tc>
      </w:tr>
      <w:tr w:rsidR="00722676" w:rsidTr="00B06008">
        <w:trPr>
          <w:trHeight w:val="562"/>
        </w:trPr>
        <w:tc>
          <w:tcPr>
            <w:tcW w:w="1271" w:type="dxa"/>
          </w:tcPr>
          <w:p w:rsidR="00722676" w:rsidRPr="00722676" w:rsidRDefault="00722676" w:rsidP="00722676">
            <w:pPr>
              <w:jc w:val="center"/>
              <w:rPr>
                <w:sz w:val="18"/>
                <w:szCs w:val="18"/>
              </w:rPr>
            </w:pPr>
            <w:r w:rsidRPr="00722676">
              <w:rPr>
                <w:sz w:val="18"/>
                <w:szCs w:val="18"/>
              </w:rPr>
              <w:t>Behaviour for Learning</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shd w:val="clear" w:color="auto" w:fill="FF0000"/>
          </w:tcPr>
          <w:p w:rsidR="00722676" w:rsidRPr="00C80766" w:rsidRDefault="00722676" w:rsidP="00722676">
            <w:pPr>
              <w:jc w:val="center"/>
            </w:pPr>
          </w:p>
        </w:tc>
      </w:tr>
      <w:tr w:rsidR="00722676" w:rsidTr="00B06008">
        <w:tc>
          <w:tcPr>
            <w:tcW w:w="1271" w:type="dxa"/>
          </w:tcPr>
          <w:p w:rsidR="00722676" w:rsidRPr="00722676" w:rsidRDefault="00722676" w:rsidP="00722676">
            <w:pPr>
              <w:jc w:val="center"/>
              <w:rPr>
                <w:sz w:val="18"/>
                <w:szCs w:val="18"/>
              </w:rPr>
            </w:pPr>
            <w:r w:rsidRPr="00722676">
              <w:rPr>
                <w:sz w:val="18"/>
                <w:szCs w:val="18"/>
              </w:rPr>
              <w:t>Anti-bullying and anti-prejudice</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shd w:val="clear" w:color="auto" w:fill="FFC000"/>
          </w:tcPr>
          <w:p w:rsidR="00722676" w:rsidRDefault="00722676" w:rsidP="00722676">
            <w:pPr>
              <w:jc w:val="center"/>
            </w:pPr>
          </w:p>
        </w:tc>
      </w:tr>
      <w:tr w:rsidR="00722676" w:rsidTr="00B06008">
        <w:tc>
          <w:tcPr>
            <w:tcW w:w="1271" w:type="dxa"/>
          </w:tcPr>
          <w:p w:rsidR="00722676" w:rsidRPr="00722676" w:rsidRDefault="00722676" w:rsidP="00722676">
            <w:pPr>
              <w:jc w:val="center"/>
              <w:rPr>
                <w:sz w:val="18"/>
                <w:szCs w:val="18"/>
              </w:rPr>
            </w:pPr>
            <w:r w:rsidRPr="00722676">
              <w:rPr>
                <w:sz w:val="18"/>
                <w:szCs w:val="18"/>
              </w:rPr>
              <w:t xml:space="preserve">Emotional and mental wellbeing </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shd w:val="clear" w:color="auto" w:fill="92D050"/>
          </w:tcPr>
          <w:p w:rsidR="00722676" w:rsidRDefault="00722676" w:rsidP="00722676">
            <w:pPr>
              <w:jc w:val="center"/>
            </w:pPr>
          </w:p>
        </w:tc>
      </w:tr>
      <w:tr w:rsidR="00722676" w:rsidTr="00B06008">
        <w:tc>
          <w:tcPr>
            <w:tcW w:w="1271" w:type="dxa"/>
          </w:tcPr>
          <w:p w:rsidR="00722676" w:rsidRPr="00722676" w:rsidRDefault="00722676" w:rsidP="00722676">
            <w:pPr>
              <w:jc w:val="center"/>
              <w:rPr>
                <w:sz w:val="18"/>
                <w:szCs w:val="18"/>
              </w:rPr>
            </w:pPr>
            <w:r w:rsidRPr="00722676">
              <w:rPr>
                <w:sz w:val="18"/>
                <w:szCs w:val="18"/>
              </w:rPr>
              <w:t>Online safety</w:t>
            </w:r>
          </w:p>
        </w:tc>
        <w:tc>
          <w:tcPr>
            <w:tcW w:w="1204" w:type="dxa"/>
          </w:tcPr>
          <w:p w:rsidR="00722676" w:rsidRDefault="00722676" w:rsidP="00722676">
            <w:pPr>
              <w:jc w:val="center"/>
            </w:pPr>
          </w:p>
          <w:p w:rsidR="00AF761D" w:rsidRDefault="00AF761D"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c>
          <w:tcPr>
            <w:tcW w:w="1271" w:type="dxa"/>
          </w:tcPr>
          <w:p w:rsidR="00722676" w:rsidRPr="00722676" w:rsidRDefault="00AF761D" w:rsidP="00AF761D">
            <w:pPr>
              <w:jc w:val="center"/>
              <w:rPr>
                <w:sz w:val="18"/>
                <w:szCs w:val="18"/>
              </w:rPr>
            </w:pPr>
            <w:r>
              <w:rPr>
                <w:sz w:val="18"/>
                <w:szCs w:val="18"/>
              </w:rPr>
              <w:t>RE/RSE,</w:t>
            </w:r>
            <w:r w:rsidR="00722676" w:rsidRPr="00722676">
              <w:rPr>
                <w:sz w:val="18"/>
                <w:szCs w:val="18"/>
              </w:rPr>
              <w:t xml:space="preserve"> health </w:t>
            </w:r>
            <w:proofErr w:type="spellStart"/>
            <w:r>
              <w:rPr>
                <w:sz w:val="18"/>
                <w:szCs w:val="18"/>
              </w:rPr>
              <w:t>edn</w:t>
            </w:r>
            <w:proofErr w:type="spellEnd"/>
            <w:r w:rsidR="00722676" w:rsidRPr="00722676">
              <w:rPr>
                <w:sz w:val="18"/>
                <w:szCs w:val="18"/>
              </w:rPr>
              <w:t xml:space="preserve"> and PSHE</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rPr>
          <w:trHeight w:val="690"/>
        </w:trPr>
        <w:tc>
          <w:tcPr>
            <w:tcW w:w="1271" w:type="dxa"/>
          </w:tcPr>
          <w:p w:rsidR="00722676" w:rsidRPr="00722676" w:rsidRDefault="00722676" w:rsidP="00722676">
            <w:pPr>
              <w:jc w:val="center"/>
              <w:rPr>
                <w:sz w:val="18"/>
                <w:szCs w:val="18"/>
              </w:rPr>
            </w:pPr>
            <w:r w:rsidRPr="00722676">
              <w:rPr>
                <w:sz w:val="18"/>
                <w:szCs w:val="18"/>
              </w:rPr>
              <w:t>English as an additional language</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c>
          <w:tcPr>
            <w:tcW w:w="1271" w:type="dxa"/>
          </w:tcPr>
          <w:p w:rsidR="00722676" w:rsidRPr="00722676" w:rsidRDefault="00722676" w:rsidP="00722676">
            <w:pPr>
              <w:jc w:val="center"/>
              <w:rPr>
                <w:sz w:val="18"/>
                <w:szCs w:val="18"/>
              </w:rPr>
            </w:pPr>
            <w:r w:rsidRPr="00722676">
              <w:rPr>
                <w:sz w:val="18"/>
                <w:szCs w:val="18"/>
              </w:rPr>
              <w:t>Equalities</w:t>
            </w:r>
          </w:p>
        </w:tc>
        <w:tc>
          <w:tcPr>
            <w:tcW w:w="1204" w:type="dxa"/>
          </w:tcPr>
          <w:p w:rsidR="00722676" w:rsidRDefault="00722676" w:rsidP="00722676">
            <w:pPr>
              <w:jc w:val="center"/>
            </w:pPr>
          </w:p>
          <w:p w:rsidR="00AF761D" w:rsidRDefault="00AF761D"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rPr>
          <w:trHeight w:val="692"/>
        </w:trPr>
        <w:tc>
          <w:tcPr>
            <w:tcW w:w="1271" w:type="dxa"/>
          </w:tcPr>
          <w:p w:rsidR="00722676" w:rsidRPr="00722676" w:rsidRDefault="00722676" w:rsidP="00722676">
            <w:pPr>
              <w:jc w:val="center"/>
              <w:rPr>
                <w:sz w:val="18"/>
                <w:szCs w:val="18"/>
              </w:rPr>
            </w:pPr>
            <w:r w:rsidRPr="00722676">
              <w:rPr>
                <w:sz w:val="18"/>
                <w:szCs w:val="18"/>
              </w:rPr>
              <w:t>Parental engagement</w:t>
            </w:r>
          </w:p>
        </w:tc>
        <w:tc>
          <w:tcPr>
            <w:tcW w:w="1204" w:type="dxa"/>
          </w:tcPr>
          <w:p w:rsidR="00722676" w:rsidRDefault="00722676" w:rsidP="00722676">
            <w:pPr>
              <w:jc w:val="center"/>
            </w:pPr>
          </w:p>
          <w:p w:rsidR="00AF761D" w:rsidRDefault="00AF761D"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c>
          <w:tcPr>
            <w:tcW w:w="1271" w:type="dxa"/>
          </w:tcPr>
          <w:p w:rsidR="00722676" w:rsidRPr="00722676" w:rsidRDefault="00722676" w:rsidP="00722676">
            <w:pPr>
              <w:jc w:val="center"/>
              <w:rPr>
                <w:sz w:val="18"/>
                <w:szCs w:val="18"/>
              </w:rPr>
            </w:pPr>
            <w:r w:rsidRPr="00722676">
              <w:rPr>
                <w:sz w:val="18"/>
                <w:szCs w:val="18"/>
              </w:rPr>
              <w:t>Pupil voice, engagement and agency</w:t>
            </w: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r w:rsidR="00722676" w:rsidTr="00B06008">
        <w:trPr>
          <w:trHeight w:val="664"/>
        </w:trPr>
        <w:tc>
          <w:tcPr>
            <w:tcW w:w="1271" w:type="dxa"/>
          </w:tcPr>
          <w:p w:rsidR="00722676" w:rsidRPr="00722676" w:rsidRDefault="00722676" w:rsidP="00722676">
            <w:pPr>
              <w:jc w:val="center"/>
              <w:rPr>
                <w:sz w:val="20"/>
                <w:szCs w:val="20"/>
              </w:rPr>
            </w:pPr>
          </w:p>
        </w:tc>
        <w:tc>
          <w:tcPr>
            <w:tcW w:w="1204" w:type="dxa"/>
          </w:tcPr>
          <w:p w:rsidR="00722676" w:rsidRDefault="00722676" w:rsidP="00722676">
            <w:pPr>
              <w:jc w:val="center"/>
            </w:pPr>
          </w:p>
        </w:tc>
        <w:tc>
          <w:tcPr>
            <w:tcW w:w="1206" w:type="dxa"/>
          </w:tcPr>
          <w:p w:rsidR="00722676" w:rsidRDefault="00722676" w:rsidP="00722676">
            <w:pPr>
              <w:jc w:val="center"/>
            </w:pPr>
          </w:p>
        </w:tc>
        <w:tc>
          <w:tcPr>
            <w:tcW w:w="1134" w:type="dxa"/>
          </w:tcPr>
          <w:p w:rsidR="00722676" w:rsidRDefault="00722676" w:rsidP="00722676">
            <w:pPr>
              <w:jc w:val="center"/>
            </w:pPr>
          </w:p>
          <w:p w:rsidR="00722676" w:rsidRDefault="00722676" w:rsidP="00722676">
            <w:pPr>
              <w:jc w:val="center"/>
            </w:pPr>
          </w:p>
        </w:tc>
        <w:tc>
          <w:tcPr>
            <w:tcW w:w="992"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c>
          <w:tcPr>
            <w:tcW w:w="1134" w:type="dxa"/>
          </w:tcPr>
          <w:p w:rsidR="00722676" w:rsidRDefault="00722676" w:rsidP="00722676">
            <w:pPr>
              <w:jc w:val="center"/>
            </w:pPr>
          </w:p>
        </w:tc>
      </w:tr>
    </w:tbl>
    <w:p w:rsidR="00DB0C99" w:rsidRPr="00DB0C99" w:rsidRDefault="00DB0C99" w:rsidP="00241371">
      <w:pPr>
        <w:jc w:val="center"/>
      </w:pPr>
    </w:p>
    <w:sectPr w:rsidR="00DB0C99" w:rsidRPr="00DB0C99" w:rsidSect="00722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1"/>
    <w:rsid w:val="000416CC"/>
    <w:rsid w:val="001D6B78"/>
    <w:rsid w:val="00241371"/>
    <w:rsid w:val="002A3A7B"/>
    <w:rsid w:val="004D2176"/>
    <w:rsid w:val="00722676"/>
    <w:rsid w:val="007475B6"/>
    <w:rsid w:val="008449D6"/>
    <w:rsid w:val="00AF761D"/>
    <w:rsid w:val="00B06008"/>
    <w:rsid w:val="00C80766"/>
    <w:rsid w:val="00DB0C99"/>
    <w:rsid w:val="00F5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AACC"/>
  <w15:chartTrackingRefBased/>
  <w15:docId w15:val="{BF65FBEC-5327-4AC0-85AA-C69C42E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Hutchinson</dc:creator>
  <cp:keywords/>
  <dc:description/>
  <cp:lastModifiedBy>Sandra Baker</cp:lastModifiedBy>
  <cp:revision>2</cp:revision>
  <dcterms:created xsi:type="dcterms:W3CDTF">2019-03-27T11:34:00Z</dcterms:created>
  <dcterms:modified xsi:type="dcterms:W3CDTF">2019-03-27T11:34:00Z</dcterms:modified>
</cp:coreProperties>
</file>